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F22BD" w:rsidRDefault="002B5CD3" w:rsidP="00DB4279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F22B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F22BD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E43A42" w:rsidRPr="00EF74D0">
              <w:rPr>
                <w:rFonts w:ascii="Times New Roman" w:hAnsi="Times New Roman"/>
                <w:sz w:val="22"/>
                <w:szCs w:val="22"/>
              </w:rPr>
              <w:t>1000016277</w:t>
            </w:r>
            <w:r w:rsidRPr="005F22BD">
              <w:rPr>
                <w:rFonts w:ascii="Times New Roman" w:eastAsia="Times New Roman" w:hAnsi="Times New Roman"/>
                <w:sz w:val="22"/>
                <w:szCs w:val="22"/>
              </w:rPr>
              <w:t>/201</w:t>
            </w:r>
            <w:r w:rsidR="00DB427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A85D7E" w:rsidRPr="005F22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E43A42" w:rsidP="00E43A4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4D0">
              <w:rPr>
                <w:rFonts w:ascii="Times New Roman" w:hAnsi="Times New Roman"/>
                <w:sz w:val="22"/>
                <w:szCs w:val="22"/>
              </w:rPr>
              <w:t>Gisa</w:t>
            </w:r>
            <w:proofErr w:type="spellEnd"/>
            <w:r w:rsidRPr="00EF74D0">
              <w:rPr>
                <w:rFonts w:ascii="Times New Roman" w:hAnsi="Times New Roman"/>
                <w:sz w:val="22"/>
                <w:szCs w:val="22"/>
              </w:rPr>
              <w:t xml:space="preserve"> Figueira Decoração</w:t>
            </w:r>
            <w:r w:rsidR="00D31D46">
              <w:rPr>
                <w:rFonts w:ascii="Times New Roman" w:hAnsi="Times New Roman"/>
                <w:sz w:val="22"/>
                <w:szCs w:val="22"/>
              </w:rPr>
              <w:t xml:space="preserve">, CNPJ n.º </w:t>
            </w:r>
            <w:r>
              <w:rPr>
                <w:rFonts w:ascii="Times New Roman" w:hAnsi="Times New Roman"/>
                <w:sz w:val="22"/>
                <w:szCs w:val="22"/>
              </w:rPr>
              <w:t>13.452.459</w:t>
            </w:r>
            <w:r w:rsidR="00D31D46">
              <w:rPr>
                <w:rFonts w:ascii="Times New Roman" w:hAnsi="Times New Roman"/>
                <w:sz w:val="22"/>
                <w:szCs w:val="22"/>
              </w:rPr>
              <w:t>/0001-</w:t>
            </w:r>
            <w:r>
              <w:rPr>
                <w:rFonts w:ascii="Times New Roman" w:hAnsi="Times New Roman"/>
                <w:sz w:val="22"/>
                <w:szCs w:val="22"/>
              </w:rPr>
              <w:t>78</w:t>
            </w:r>
            <w:r w:rsidR="009A6084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D31D46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Ausência de </w:t>
            </w:r>
            <w:r w:rsidR="00D31D46">
              <w:rPr>
                <w:rFonts w:ascii="Times New Roman" w:eastAsia="Times New Roman" w:hAnsi="Times New Roman"/>
                <w:bCs/>
                <w:sz w:val="22"/>
                <w:szCs w:val="22"/>
              </w:rPr>
              <w:t>registro junto ao CAU</w:t>
            </w:r>
            <w:r w:rsidR="0013263C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F22BD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F22BD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2B5C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F22B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F22BD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5F22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43A4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</w:tbl>
    <w:p w:rsidR="009B3A8F" w:rsidRPr="005F22BD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F22BD" w:rsidRDefault="00CA7016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="00BD7C4B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29 de setembro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de 2015, no uso das competências que lhe conferem o Regimento Interno do CAU/DF conforme artigo 21, XI e art. 31, III, V e VI após análise do assunto em epígrafe, e:</w:t>
      </w:r>
    </w:p>
    <w:p w:rsidR="00390C3A" w:rsidRPr="00602EB8" w:rsidRDefault="00083E71" w:rsidP="00E43A4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F22BD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5F22BD">
        <w:rPr>
          <w:rFonts w:ascii="Times New Roman" w:hAnsi="Times New Roman"/>
          <w:sz w:val="22"/>
          <w:szCs w:val="22"/>
        </w:rPr>
        <w:t>CAUs</w:t>
      </w:r>
      <w:proofErr w:type="spellEnd"/>
      <w:r w:rsidRPr="005F22BD">
        <w:rPr>
          <w:rFonts w:ascii="Times New Roman" w:hAnsi="Times New Roman"/>
          <w:sz w:val="22"/>
          <w:szCs w:val="22"/>
        </w:rPr>
        <w:t xml:space="preserve"> “</w:t>
      </w:r>
      <w:r w:rsidRPr="005F22BD">
        <w:rPr>
          <w:rFonts w:ascii="Times New Roman" w:hAnsi="Times New Roman"/>
          <w:color w:val="000000"/>
          <w:sz w:val="22"/>
          <w:szCs w:val="22"/>
        </w:rPr>
        <w:t xml:space="preserve">orientar, disciplinar e fiscalizar o exercício da profissão de arquitetura e urbanismo, zelar pela fiel observância </w:t>
      </w:r>
      <w:r w:rsidRPr="00602EB8">
        <w:rPr>
          <w:rFonts w:ascii="Times New Roman" w:hAnsi="Times New Roman"/>
          <w:color w:val="000000"/>
          <w:sz w:val="22"/>
          <w:szCs w:val="22"/>
        </w:rPr>
        <w:t>dos princípios de ética e disciplina da classe em todo o território nacional, bem como pugnar pelo aperfeiçoamento do exercício da arquitetura e urbanismo”;</w:t>
      </w:r>
    </w:p>
    <w:p w:rsidR="00E25AAB" w:rsidRPr="00602EB8" w:rsidRDefault="00E25AAB" w:rsidP="00E43A4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DB4279" w:rsidRPr="00602EB8" w:rsidRDefault="002B5CD3" w:rsidP="00E43A42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e posterior auto de infração n.º </w:t>
      </w:r>
      <w:r w:rsidR="00E43A42" w:rsidRPr="00602EB8">
        <w:rPr>
          <w:rFonts w:ascii="Times New Roman" w:eastAsia="Times New Roman" w:hAnsi="Times New Roman"/>
          <w:bCs/>
          <w:sz w:val="22"/>
          <w:szCs w:val="22"/>
          <w:lang w:eastAsia="pt-BR"/>
        </w:rPr>
        <w:t>1000016277</w:t>
      </w: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DB4279" w:rsidRPr="00602EB8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proofErr w:type="gramStart"/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B4279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End"/>
      <w:r w:rsidR="00DB4279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em desfavor </w:t>
      </w:r>
      <w:r w:rsidR="00D31D46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da empresa </w:t>
      </w:r>
      <w:proofErr w:type="spellStart"/>
      <w:r w:rsidR="00E43A42" w:rsidRPr="00602EB8">
        <w:rPr>
          <w:rFonts w:ascii="Times New Roman" w:hAnsi="Times New Roman"/>
          <w:sz w:val="22"/>
          <w:szCs w:val="22"/>
        </w:rPr>
        <w:t>Gisa</w:t>
      </w:r>
      <w:proofErr w:type="spellEnd"/>
      <w:r w:rsidR="00E43A42" w:rsidRPr="00602EB8">
        <w:rPr>
          <w:rFonts w:ascii="Times New Roman" w:hAnsi="Times New Roman"/>
          <w:sz w:val="22"/>
          <w:szCs w:val="22"/>
        </w:rPr>
        <w:t xml:space="preserve"> Figueira Decoração, CNPJ n.º 13.452.459/0001-78</w:t>
      </w:r>
      <w:r w:rsidR="00DB4279" w:rsidRPr="00602EB8">
        <w:rPr>
          <w:rFonts w:ascii="Times New Roman" w:hAnsi="Times New Roman"/>
          <w:sz w:val="22"/>
          <w:szCs w:val="22"/>
        </w:rPr>
        <w:t xml:space="preserve">, por </w:t>
      </w:r>
      <w:r w:rsidR="00D31D46" w:rsidRPr="00602EB8">
        <w:rPr>
          <w:rFonts w:ascii="Times New Roman" w:eastAsia="Times New Roman" w:hAnsi="Times New Roman"/>
          <w:bCs/>
          <w:sz w:val="22"/>
          <w:szCs w:val="22"/>
        </w:rPr>
        <w:t>ausência de registro junto ao CAU</w:t>
      </w:r>
      <w:r w:rsidR="00DB4279" w:rsidRPr="00602EB8">
        <w:rPr>
          <w:rFonts w:ascii="Times New Roman" w:hAnsi="Times New Roman"/>
          <w:sz w:val="22"/>
          <w:szCs w:val="22"/>
        </w:rPr>
        <w:t>;</w:t>
      </w:r>
    </w:p>
    <w:p w:rsidR="00E43A42" w:rsidRPr="00602EB8" w:rsidRDefault="00D31D46" w:rsidP="00E43A4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2EB8">
        <w:rPr>
          <w:rFonts w:ascii="Times New Roman" w:hAnsi="Times New Roman"/>
          <w:sz w:val="22"/>
          <w:szCs w:val="22"/>
        </w:rPr>
        <w:t xml:space="preserve">Considerando que </w:t>
      </w:r>
      <w:r w:rsidR="00E43A42" w:rsidRPr="00602EB8">
        <w:rPr>
          <w:rFonts w:ascii="Times New Roman" w:hAnsi="Times New Roman"/>
          <w:sz w:val="22"/>
          <w:szCs w:val="22"/>
        </w:rPr>
        <w:t>a</w:t>
      </w:r>
      <w:r w:rsidRPr="00602EB8">
        <w:rPr>
          <w:rFonts w:ascii="Times New Roman" w:hAnsi="Times New Roman"/>
          <w:sz w:val="22"/>
          <w:szCs w:val="22"/>
        </w:rPr>
        <w:t xml:space="preserve"> representante legal da referida empresa </w:t>
      </w:r>
      <w:r w:rsidR="00E43A42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não apresentou defesa </w:t>
      </w:r>
      <w:proofErr w:type="gramStart"/>
      <w:r w:rsidR="00E43A42" w:rsidRPr="00602EB8">
        <w:rPr>
          <w:rFonts w:ascii="Times New Roman" w:eastAsia="Times New Roman" w:hAnsi="Times New Roman"/>
          <w:sz w:val="22"/>
          <w:szCs w:val="22"/>
          <w:lang w:eastAsia="pt-BR"/>
        </w:rPr>
        <w:t>perante à</w:t>
      </w:r>
      <w:proofErr w:type="gramEnd"/>
      <w:r w:rsidR="00E43A42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CEP-CAU/DF, no prazo legal de 10 (dez) dias, conforme determina o inciso VII do art. 16 da Resolução n.º 22 do CAU/BR; </w:t>
      </w:r>
    </w:p>
    <w:p w:rsidR="002B5CD3" w:rsidRPr="00602EB8" w:rsidRDefault="00E43A42" w:rsidP="00E43A42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02EB8">
        <w:rPr>
          <w:rFonts w:ascii="Times New Roman" w:eastAsia="Times New Roman" w:hAnsi="Times New Roman"/>
          <w:sz w:val="22"/>
          <w:szCs w:val="22"/>
        </w:rPr>
        <w:t>Considerando o art. 21 da Resolução n.º 22 do CAU/BR, que determina que “a</w:t>
      </w:r>
      <w:r w:rsidRPr="00602EB8">
        <w:rPr>
          <w:rFonts w:ascii="Times New Roman" w:hAnsi="Times New Roman"/>
          <w:sz w:val="22"/>
          <w:szCs w:val="22"/>
        </w:rPr>
        <w:t xml:space="preserve"> Comissão de Exercício Profissional do CAU/UF julgará à revelia a pessoa física ou jurídica autuada que não apresentar defesa tempestiva ao auto de infração, sendo garantido amplo direito de defesa nas fases subsequentes do processo”</w:t>
      </w:r>
      <w:r w:rsidRPr="00602EB8">
        <w:rPr>
          <w:rFonts w:ascii="Times New Roman" w:eastAsia="Times New Roman" w:hAnsi="Times New Roman"/>
          <w:sz w:val="22"/>
          <w:szCs w:val="22"/>
        </w:rPr>
        <w:t>;</w:t>
      </w:r>
    </w:p>
    <w:p w:rsidR="009B3A8F" w:rsidRPr="00602EB8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602EB8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602EB8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3A42" w:rsidRPr="00602EB8" w:rsidRDefault="00602EB8" w:rsidP="00602EB8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2EB8">
        <w:rPr>
          <w:rFonts w:ascii="Times New Roman" w:hAnsi="Times New Roman"/>
          <w:sz w:val="22"/>
          <w:szCs w:val="22"/>
        </w:rPr>
        <w:t xml:space="preserve">Pelo cumprimento do disposto no </w:t>
      </w: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art. 43 da Resolução n.º 22 do CAU/BR, de </w:t>
      </w:r>
      <w:proofErr w:type="gramStart"/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estabelece que “e</w:t>
      </w:r>
      <w:r w:rsidRPr="00602EB8">
        <w:rPr>
          <w:rFonts w:ascii="Times New Roman" w:hAnsi="Times New Roman"/>
          <w:sz w:val="22"/>
          <w:szCs w:val="22"/>
        </w:rPr>
        <w:t>m qualquer fase do processo, não sendo encontrada a pessoa física ou jurídica responsável pela atividade fiscalizada ou seu representante, ou ainda, em caso de recusa do recebimento da notificação ou do auto de infração, o extrato destes atos processuais será divulgado em publicação do CAU/DF”, devendo o nome da notificada ser publicado no Diário Oficial do Distrito Federal.</w:t>
      </w:r>
    </w:p>
    <w:p w:rsidR="002B5CD3" w:rsidRPr="00602EB8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602EB8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602EB8">
        <w:rPr>
          <w:rFonts w:ascii="Times New Roman" w:eastAsia="Times New Roman" w:hAnsi="Times New Roman"/>
          <w:sz w:val="22"/>
          <w:szCs w:val="22"/>
          <w:lang w:eastAsia="pt-BR"/>
        </w:rPr>
        <w:t>29 de setembro</w:t>
      </w:r>
      <w:r w:rsidR="00E25AAB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602EB8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602EB8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4279" w:rsidRDefault="00DB4279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BD7C4B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BD7C4B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BD7C4B">
        <w:rPr>
          <w:rFonts w:ascii="Times New Roman" w:eastAsia="Arial Unicode MS" w:hAnsi="Times New Roman"/>
          <w:b/>
          <w:sz w:val="22"/>
          <w:szCs w:val="22"/>
        </w:rPr>
        <w:tab/>
      </w:r>
      <w:r w:rsidRPr="00BD7C4B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D7C4B">
        <w:rPr>
          <w:rFonts w:ascii="Times New Roman" w:eastAsia="Calibri" w:hAnsi="Times New Roman"/>
          <w:b/>
          <w:sz w:val="22"/>
          <w:szCs w:val="22"/>
        </w:rPr>
        <w:tab/>
      </w:r>
      <w:r w:rsidRPr="00BD7C4B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D31D46" w:rsidRPr="00BD7C4B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D7C4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BD7C4B" w:rsidRDefault="002B5CD3" w:rsidP="002B5CD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D7C4B">
        <w:rPr>
          <w:rFonts w:ascii="Times New Roman" w:hAnsi="Times New Roman"/>
          <w:sz w:val="22"/>
          <w:szCs w:val="22"/>
        </w:rPr>
        <w:t>Coordenador</w:t>
      </w:r>
    </w:p>
    <w:p w:rsidR="002B5CD3" w:rsidRPr="00BD7C4B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BD7C4B">
        <w:rPr>
          <w:rFonts w:ascii="Times New Roman" w:hAnsi="Times New Roman"/>
          <w:b/>
          <w:sz w:val="22"/>
          <w:szCs w:val="22"/>
        </w:rPr>
        <w:t>ROGÉRIO MARKIEWICZ</w:t>
      </w:r>
      <w:r w:rsidRPr="00BD7C4B">
        <w:rPr>
          <w:rFonts w:ascii="Times New Roman" w:hAnsi="Times New Roman"/>
          <w:b/>
          <w:sz w:val="22"/>
          <w:szCs w:val="22"/>
        </w:rPr>
        <w:tab/>
      </w:r>
      <w:r w:rsidRPr="00BD7C4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D31D46" w:rsidRPr="00BD7C4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BD7C4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BD7C4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BD7C4B" w:rsidRDefault="002B5CD3" w:rsidP="002B5CD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BD7C4B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D7C4B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2B5CD3" w:rsidRPr="00BD7C4B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BD7C4B">
        <w:rPr>
          <w:rFonts w:ascii="Times New Roman" w:hAnsi="Times New Roman"/>
          <w:b/>
          <w:sz w:val="22"/>
          <w:szCs w:val="22"/>
        </w:rPr>
        <w:t>SAMUEL LEANDRO DE SANTANA</w:t>
      </w:r>
      <w:r w:rsidRPr="00BD7C4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D31D46" w:rsidRPr="00BD7C4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BD7C4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BD7C4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BD7C4B" w:rsidRDefault="002B5CD3" w:rsidP="00BD7C4B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BD7C4B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="00CE5F36" w:rsidRPr="00D4574C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DF1F7" wp14:editId="3DF84C13">
                <wp:simplePos x="0" y="0"/>
                <wp:positionH relativeFrom="column">
                  <wp:posOffset>5649875</wp:posOffset>
                </wp:positionH>
                <wp:positionV relativeFrom="paragraph">
                  <wp:posOffset>5095686</wp:posOffset>
                </wp:positionV>
                <wp:extent cx="380365" cy="1403985"/>
                <wp:effectExtent l="0" t="0" r="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36" w:rsidRPr="00306BE2" w:rsidRDefault="00CE5F36" w:rsidP="00CE5F36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4.85pt;margin-top:401.25pt;width: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" filled="f" stroked="f">
                <v:textbox style="mso-fit-shape-to-text:t">
                  <w:txbxContent>
                    <w:p w:rsidR="00CE5F36" w:rsidRPr="00306BE2" w:rsidRDefault="00CE5F36" w:rsidP="00CE5F36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CF5" w:rsidRPr="00BD7C4B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E0098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E0098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CD3"/>
    <w:rsid w:val="002C4F50"/>
    <w:rsid w:val="002D50C4"/>
    <w:rsid w:val="002E331A"/>
    <w:rsid w:val="002E41F5"/>
    <w:rsid w:val="002F42FC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2EB8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0D0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376CA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D7C4B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A7016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31D46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4279"/>
    <w:rsid w:val="00DB699D"/>
    <w:rsid w:val="00DB7AA4"/>
    <w:rsid w:val="00DC0911"/>
    <w:rsid w:val="00DC4F12"/>
    <w:rsid w:val="00DD2010"/>
    <w:rsid w:val="00DD57B2"/>
    <w:rsid w:val="00DE21AB"/>
    <w:rsid w:val="00DE262A"/>
    <w:rsid w:val="00DF1475"/>
    <w:rsid w:val="00DF6A91"/>
    <w:rsid w:val="00E00589"/>
    <w:rsid w:val="00E0098E"/>
    <w:rsid w:val="00E13693"/>
    <w:rsid w:val="00E173B0"/>
    <w:rsid w:val="00E17A25"/>
    <w:rsid w:val="00E234F7"/>
    <w:rsid w:val="00E25AAB"/>
    <w:rsid w:val="00E42F22"/>
    <w:rsid w:val="00E43A4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B6248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15</cp:revision>
  <cp:lastPrinted>2016-07-27T17:08:00Z</cp:lastPrinted>
  <dcterms:created xsi:type="dcterms:W3CDTF">2016-11-03T12:38:00Z</dcterms:created>
  <dcterms:modified xsi:type="dcterms:W3CDTF">2016-11-24T17:13:00Z</dcterms:modified>
</cp:coreProperties>
</file>