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0B079F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B079F" w:rsidRDefault="00A55DEF" w:rsidP="007026B2">
            <w:pPr>
              <w:pStyle w:val="Cabealho"/>
              <w:ind w:right="113"/>
            </w:pPr>
            <w:r w:rsidRPr="000B079F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0B079F" w:rsidRDefault="00A74A38" w:rsidP="00831CAD">
            <w:pPr>
              <w:spacing w:line="276" w:lineRule="auto"/>
            </w:pPr>
            <w:r>
              <w:t>729705/2018</w:t>
            </w:r>
          </w:p>
        </w:tc>
      </w:tr>
      <w:tr w:rsidR="00A55DEF" w:rsidRPr="000B079F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B079F" w:rsidRDefault="00A55DEF" w:rsidP="007026B2">
            <w:pPr>
              <w:pStyle w:val="Cabealho"/>
              <w:ind w:right="113"/>
            </w:pPr>
            <w:r w:rsidRPr="000B079F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0B079F" w:rsidRDefault="00C00F1B" w:rsidP="007026B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>
              <w:t>CAU/DF</w:t>
            </w:r>
          </w:p>
        </w:tc>
      </w:tr>
      <w:tr w:rsidR="00A55DEF" w:rsidRPr="000B079F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B079F" w:rsidRDefault="00A55DEF" w:rsidP="007026B2">
            <w:pPr>
              <w:pStyle w:val="Cabealho"/>
              <w:ind w:right="113"/>
            </w:pPr>
            <w:r w:rsidRPr="000B079F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DC04DD" w:rsidRDefault="00A74A38" w:rsidP="00DC04DD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124"/>
                <w:shd w:val="clear" w:color="auto" w:fill="FFFFFF"/>
              </w:rPr>
              <w:t>REPROGRAMAÇÃO DO PLANO DE AÇÃO E ORÇAMENTO DE 2019</w:t>
            </w:r>
          </w:p>
        </w:tc>
      </w:tr>
    </w:tbl>
    <w:p w:rsidR="00A55DEF" w:rsidRPr="000B079F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0B079F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0B079F" w:rsidRDefault="00A55DEF" w:rsidP="00867D96">
            <w:pPr>
              <w:pStyle w:val="Cabealho"/>
              <w:ind w:right="113"/>
              <w:jc w:val="center"/>
              <w:rPr>
                <w:b/>
              </w:rPr>
            </w:pPr>
            <w:r w:rsidRPr="000B079F">
              <w:rPr>
                <w:b/>
              </w:rPr>
              <w:t>DELIBERAÇÃO Nº 0</w:t>
            </w:r>
            <w:r w:rsidR="00C00F1B">
              <w:rPr>
                <w:b/>
              </w:rPr>
              <w:t>2</w:t>
            </w:r>
            <w:r w:rsidR="00867D96">
              <w:rPr>
                <w:b/>
              </w:rPr>
              <w:t>2</w:t>
            </w:r>
            <w:r w:rsidR="00147280" w:rsidRPr="000B079F">
              <w:rPr>
                <w:b/>
              </w:rPr>
              <w:t>/201</w:t>
            </w:r>
            <w:r w:rsidR="00FD67E1" w:rsidRPr="000B079F">
              <w:rPr>
                <w:b/>
              </w:rPr>
              <w:t>9</w:t>
            </w:r>
            <w:r w:rsidR="00147280" w:rsidRPr="000B079F">
              <w:rPr>
                <w:b/>
              </w:rPr>
              <w:t xml:space="preserve"> – CAF</w:t>
            </w:r>
            <w:r w:rsidRPr="000B079F">
              <w:rPr>
                <w:b/>
              </w:rPr>
              <w:t>-CAU/DF</w:t>
            </w:r>
          </w:p>
        </w:tc>
      </w:tr>
    </w:tbl>
    <w:p w:rsidR="00A55DEF" w:rsidRPr="000B079F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0B079F">
        <w:tab/>
      </w:r>
      <w:r w:rsidRPr="000B079F">
        <w:tab/>
      </w:r>
    </w:p>
    <w:p w:rsidR="004054FB" w:rsidRDefault="004054FB" w:rsidP="007026B2">
      <w:pPr>
        <w:ind w:right="113"/>
        <w:rPr>
          <w:rFonts w:eastAsia="Verdana"/>
        </w:rPr>
      </w:pPr>
      <w:r w:rsidRPr="005C5DA9">
        <w:rPr>
          <w:rFonts w:eastAsia="Verdana"/>
        </w:rPr>
        <w:t>A COMISSÃO DE ADMINISTRAÇÃO, PLANEJAMENTO E FINANÇAS do Conselho de Arquitetura e Urbanismo do Distrito Federal – CAF</w:t>
      </w:r>
      <w:r w:rsidR="00C94D98" w:rsidRPr="005C5DA9">
        <w:rPr>
          <w:rFonts w:eastAsia="Verdana"/>
        </w:rPr>
        <w:t xml:space="preserve">- </w:t>
      </w:r>
      <w:r w:rsidRPr="005C5DA9">
        <w:rPr>
          <w:rFonts w:eastAsia="Verdana"/>
        </w:rPr>
        <w:t>CAU/DF</w:t>
      </w:r>
      <w:r w:rsidR="00C94D98" w:rsidRPr="005C5DA9">
        <w:rPr>
          <w:rFonts w:eastAsia="Verdana"/>
        </w:rPr>
        <w:t xml:space="preserve"> </w:t>
      </w:r>
      <w:r w:rsidRPr="005C5DA9">
        <w:rPr>
          <w:rFonts w:eastAsia="Verdana"/>
        </w:rPr>
        <w:t xml:space="preserve">reunida ordinariamente na sede do CAU/DF, no dia </w:t>
      </w:r>
      <w:r w:rsidR="00867D96">
        <w:rPr>
          <w:rFonts w:eastAsia="Verdana"/>
        </w:rPr>
        <w:t>29</w:t>
      </w:r>
      <w:r w:rsidR="00222EAF" w:rsidRPr="005C5DA9">
        <w:rPr>
          <w:rFonts w:eastAsia="Verdana"/>
        </w:rPr>
        <w:t xml:space="preserve"> de </w:t>
      </w:r>
      <w:r w:rsidR="00A74A38">
        <w:rPr>
          <w:rFonts w:eastAsia="Verdana"/>
        </w:rPr>
        <w:t>julh</w:t>
      </w:r>
      <w:r w:rsidR="004B789E">
        <w:rPr>
          <w:rFonts w:eastAsia="Verdana"/>
        </w:rPr>
        <w:t>o</w:t>
      </w:r>
      <w:r w:rsidRPr="005C5DA9">
        <w:rPr>
          <w:rFonts w:eastAsia="Verdana"/>
        </w:rPr>
        <w:t xml:space="preserve"> de 201</w:t>
      </w:r>
      <w:r w:rsidR="00FD67E1" w:rsidRPr="005C5DA9">
        <w:rPr>
          <w:rFonts w:eastAsia="Verdana"/>
        </w:rPr>
        <w:t>9</w:t>
      </w:r>
      <w:r w:rsidRPr="005C5DA9">
        <w:rPr>
          <w:rFonts w:eastAsia="Verdana"/>
        </w:rPr>
        <w:t xml:space="preserve">, após análise do assunto em epígrafe, </w:t>
      </w:r>
      <w:proofErr w:type="gramStart"/>
      <w:r w:rsidRPr="005C5DA9">
        <w:rPr>
          <w:rFonts w:eastAsia="Verdana"/>
        </w:rPr>
        <w:t>e</w:t>
      </w:r>
      <w:proofErr w:type="gramEnd"/>
    </w:p>
    <w:p w:rsidR="00DE05AD" w:rsidRPr="005C5DA9" w:rsidRDefault="00DE05AD" w:rsidP="007026B2">
      <w:pPr>
        <w:ind w:right="113"/>
        <w:rPr>
          <w:rFonts w:eastAsia="Verdana"/>
        </w:rPr>
      </w:pPr>
    </w:p>
    <w:p w:rsidR="00867D96" w:rsidRPr="00D8507C" w:rsidRDefault="00867D96" w:rsidP="00A74A38">
      <w:pPr>
        <w:ind w:right="113"/>
        <w:rPr>
          <w:rFonts w:eastAsia="Verdana"/>
          <w:b/>
        </w:rPr>
      </w:pPr>
      <w:r w:rsidRPr="00D8507C">
        <w:rPr>
          <w:rFonts w:eastAsia="Verdana"/>
        </w:rPr>
        <w:t>Considerando o disposto na Resolução nº 1</w:t>
      </w:r>
      <w:r w:rsidR="00D8507C" w:rsidRPr="00D8507C">
        <w:rPr>
          <w:rFonts w:eastAsia="Verdana"/>
        </w:rPr>
        <w:t>74</w:t>
      </w:r>
      <w:r w:rsidRPr="00D8507C">
        <w:rPr>
          <w:rFonts w:eastAsia="Verdana"/>
        </w:rPr>
        <w:t xml:space="preserve">, de </w:t>
      </w:r>
      <w:r w:rsidR="00D8507C" w:rsidRPr="00D8507C">
        <w:rPr>
          <w:rFonts w:eastAsia="Verdana"/>
        </w:rPr>
        <w:t>13</w:t>
      </w:r>
      <w:r w:rsidRPr="00D8507C">
        <w:rPr>
          <w:rFonts w:eastAsia="Verdana"/>
        </w:rPr>
        <w:t xml:space="preserve"> de </w:t>
      </w:r>
      <w:r w:rsidR="00D8507C" w:rsidRPr="00D8507C">
        <w:rPr>
          <w:rFonts w:eastAsia="Verdana"/>
        </w:rPr>
        <w:t>dezembro</w:t>
      </w:r>
      <w:r w:rsidRPr="00D8507C">
        <w:rPr>
          <w:rFonts w:eastAsia="Verdana"/>
        </w:rPr>
        <w:t xml:space="preserve"> de 201</w:t>
      </w:r>
      <w:r w:rsidR="00D8507C" w:rsidRPr="00D8507C">
        <w:rPr>
          <w:rFonts w:eastAsia="Verdana"/>
        </w:rPr>
        <w:t>8</w:t>
      </w:r>
      <w:r w:rsidRPr="00D8507C">
        <w:rPr>
          <w:rFonts w:eastAsia="Verdana"/>
        </w:rPr>
        <w:t xml:space="preserve"> que “dispõe</w:t>
      </w:r>
      <w:r w:rsidRPr="00D8507C">
        <w:rPr>
          <w:rFonts w:eastAsia="Verdana"/>
          <w:b/>
        </w:rPr>
        <w:t xml:space="preserve"> </w:t>
      </w:r>
      <w:r w:rsidR="00D8507C" w:rsidRPr="00D8507C">
        <w:rPr>
          <w:rStyle w:val="Forte"/>
          <w:b w:val="0"/>
        </w:rPr>
        <w:t>sobre procedimentos orçamentários, contábeis e de prestação de contas a serem adotados pelo Conselho de Arquitetura e Urbanismo do Brasil (CAU/BR) e pelos Conselhos de Arquitetura e Urbanismo dos Estados e do Distrito Federal (CAU/UF), revoga a Resolução CAU/BR nº 101, de 27 de março de 2015, e dá outras providências”;</w:t>
      </w:r>
    </w:p>
    <w:p w:rsidR="00A74A38" w:rsidRPr="00A74A38" w:rsidRDefault="00A74A38" w:rsidP="00A74A38">
      <w:pPr>
        <w:ind w:right="113"/>
        <w:rPr>
          <w:rFonts w:eastAsia="Verdana"/>
        </w:rPr>
      </w:pPr>
    </w:p>
    <w:p w:rsidR="00867D96" w:rsidRDefault="00867D96" w:rsidP="00A74A38">
      <w:pPr>
        <w:ind w:right="113"/>
        <w:rPr>
          <w:rFonts w:eastAsia="Verdana"/>
        </w:rPr>
      </w:pPr>
      <w:r w:rsidRPr="00A74A38">
        <w:rPr>
          <w:rFonts w:eastAsia="Verdana"/>
        </w:rPr>
        <w:t xml:space="preserve">Considerando Regimento Interno do CAU/DF, artigo </w:t>
      </w:r>
      <w:r w:rsidR="00A74A38" w:rsidRPr="00A74A38">
        <w:rPr>
          <w:rFonts w:eastAsia="Verdana"/>
        </w:rPr>
        <w:t>88</w:t>
      </w:r>
      <w:r w:rsidR="00A74A38">
        <w:rPr>
          <w:rFonts w:eastAsia="Verdana"/>
        </w:rPr>
        <w:t>,</w:t>
      </w:r>
      <w:r w:rsidRPr="00A74A38">
        <w:rPr>
          <w:rFonts w:eastAsia="Verdana"/>
        </w:rPr>
        <w:t xml:space="preserve"> que dispõe sobre a finalidade da Comissão de Finanças, Atos Administrativos e Gestão, </w:t>
      </w:r>
      <w:r w:rsidR="00A74A38" w:rsidRPr="00A74A38">
        <w:rPr>
          <w:rFonts w:eastAsia="Verdana"/>
        </w:rPr>
        <w:t xml:space="preserve">designando, no inciso XIII, a competência de “propor, apreciar e deliberar sobre atos normativos referentes à gestão estratégica econômico-financeira e patrimonial do CAU/DF e sobre a revisão do Planejamento Estratégico do CAU, encaminhando-a ao CAU/BR”; </w:t>
      </w:r>
    </w:p>
    <w:p w:rsidR="00A74A38" w:rsidRPr="00A74A38" w:rsidRDefault="00A74A38" w:rsidP="00A74A38">
      <w:pPr>
        <w:ind w:right="113"/>
        <w:rPr>
          <w:rFonts w:eastAsia="Verdana"/>
        </w:rPr>
      </w:pPr>
    </w:p>
    <w:p w:rsidR="00867D96" w:rsidRDefault="00867D96" w:rsidP="00A74A38">
      <w:pPr>
        <w:ind w:right="113"/>
        <w:rPr>
          <w:rFonts w:eastAsia="Verdana"/>
        </w:rPr>
      </w:pPr>
      <w:r w:rsidRPr="00A74A38">
        <w:rPr>
          <w:rFonts w:eastAsia="Verdana"/>
        </w:rPr>
        <w:t>Considerando relatório de reprogramação orçamentária do CAU/DF apresentado pela assessoria financeira e contábil do CAU/DF.</w:t>
      </w:r>
    </w:p>
    <w:p w:rsidR="00A74A38" w:rsidRPr="00A74A38" w:rsidRDefault="00A74A38" w:rsidP="00A74A38">
      <w:pPr>
        <w:ind w:right="113"/>
        <w:rPr>
          <w:rFonts w:eastAsia="Verdana"/>
        </w:rPr>
      </w:pPr>
    </w:p>
    <w:p w:rsidR="00867D96" w:rsidRPr="00A74A38" w:rsidRDefault="00867D96" w:rsidP="00A74A38">
      <w:pPr>
        <w:ind w:right="113"/>
        <w:rPr>
          <w:rFonts w:eastAsia="Verdana"/>
          <w:b/>
        </w:rPr>
      </w:pPr>
      <w:r w:rsidRPr="00A74A38">
        <w:rPr>
          <w:rFonts w:eastAsia="Verdana"/>
          <w:b/>
        </w:rPr>
        <w:t>DELIBER</w:t>
      </w:r>
      <w:r w:rsidR="00A74A38" w:rsidRPr="00A74A38">
        <w:rPr>
          <w:rFonts w:eastAsia="Verdana"/>
          <w:b/>
        </w:rPr>
        <w:t>A</w:t>
      </w:r>
      <w:r w:rsidRPr="00A74A38">
        <w:rPr>
          <w:rFonts w:eastAsia="Verdana"/>
          <w:b/>
        </w:rPr>
        <w:t>:</w:t>
      </w:r>
    </w:p>
    <w:p w:rsidR="00A74A38" w:rsidRPr="00A74A38" w:rsidRDefault="00A74A38" w:rsidP="00A74A38">
      <w:pPr>
        <w:ind w:right="113"/>
        <w:rPr>
          <w:rFonts w:eastAsia="Verdana"/>
        </w:rPr>
      </w:pPr>
    </w:p>
    <w:p w:rsidR="00867D96" w:rsidRPr="00A74A38" w:rsidRDefault="00867D96" w:rsidP="00A74A38">
      <w:pPr>
        <w:ind w:right="113"/>
        <w:rPr>
          <w:rFonts w:eastAsia="Verdana"/>
        </w:rPr>
      </w:pPr>
      <w:r w:rsidRPr="00A74A38">
        <w:rPr>
          <w:rFonts w:eastAsia="Verdana"/>
        </w:rPr>
        <w:t>1 – Aprovar a reprogramação orçamentária do CAU/DF referente a 201</w:t>
      </w:r>
      <w:r w:rsidR="00C57FD3">
        <w:rPr>
          <w:rFonts w:eastAsia="Verdana"/>
        </w:rPr>
        <w:t>9</w:t>
      </w:r>
      <w:r w:rsidRPr="00A74A38">
        <w:rPr>
          <w:rFonts w:eastAsia="Verdana"/>
        </w:rPr>
        <w:t>, com envio ao Plenário do CAU/DF, para aprovação e posterior encaminhamento ao Plenário do CAU/BR para homologação.</w:t>
      </w:r>
    </w:p>
    <w:p w:rsidR="007A1DBF" w:rsidRDefault="007A1DBF" w:rsidP="007A1DBF">
      <w:pPr>
        <w:ind w:right="113"/>
        <w:rPr>
          <w:rFonts w:eastAsia="Verdana"/>
        </w:rPr>
      </w:pPr>
    </w:p>
    <w:p w:rsidR="007A1DBF" w:rsidRDefault="007A1DBF" w:rsidP="007A1DBF">
      <w:pPr>
        <w:ind w:right="113"/>
        <w:rPr>
          <w:rFonts w:eastAsia="Verdana"/>
        </w:rPr>
      </w:pPr>
      <w:r>
        <w:rPr>
          <w:rFonts w:eastAsia="Verdana"/>
        </w:rPr>
        <w:t xml:space="preserve">Com </w:t>
      </w:r>
      <w:proofErr w:type="gramStart"/>
      <w:r w:rsidR="00A74A38">
        <w:rPr>
          <w:rFonts w:eastAsia="Verdana"/>
          <w:b/>
        </w:rPr>
        <w:t>4</w:t>
      </w:r>
      <w:proofErr w:type="gramEnd"/>
      <w:r>
        <w:rPr>
          <w:rFonts w:eastAsia="Verdana"/>
          <w:b/>
        </w:rPr>
        <w:t xml:space="preserve"> </w:t>
      </w:r>
      <w:r>
        <w:rPr>
          <w:rFonts w:eastAsia="Verdana"/>
        </w:rPr>
        <w:t>votos favoráveis, 0 voto contrário e 0 abstenção.</w:t>
      </w:r>
      <w:bookmarkStart w:id="0" w:name="_GoBack"/>
      <w:bookmarkEnd w:id="0"/>
    </w:p>
    <w:p w:rsidR="0001031A" w:rsidRPr="000B079F" w:rsidRDefault="0001031A" w:rsidP="007026B2">
      <w:pPr>
        <w:ind w:right="113"/>
        <w:rPr>
          <w:rFonts w:eastAsia="Verdana"/>
        </w:rPr>
      </w:pPr>
    </w:p>
    <w:p w:rsidR="00A55DEF" w:rsidRDefault="008D4857" w:rsidP="007026B2">
      <w:pPr>
        <w:ind w:right="113"/>
        <w:jc w:val="center"/>
        <w:rPr>
          <w:rFonts w:eastAsia="Verdana"/>
        </w:rPr>
      </w:pPr>
      <w:r>
        <w:rPr>
          <w:rFonts w:eastAsia="Verdana"/>
        </w:rPr>
        <w:t xml:space="preserve">Brasília/DF, </w:t>
      </w:r>
      <w:r w:rsidR="00A74A38">
        <w:rPr>
          <w:rFonts w:eastAsia="Verdana"/>
        </w:rPr>
        <w:t>29</w:t>
      </w:r>
      <w:r w:rsidR="00A55DEF" w:rsidRPr="000B079F">
        <w:rPr>
          <w:rFonts w:eastAsia="Verdana"/>
        </w:rPr>
        <w:t xml:space="preserve"> de </w:t>
      </w:r>
      <w:r w:rsidR="007A1DBF">
        <w:rPr>
          <w:rFonts w:eastAsia="Verdana"/>
        </w:rPr>
        <w:t>ju</w:t>
      </w:r>
      <w:r w:rsidR="00A74A38">
        <w:rPr>
          <w:rFonts w:eastAsia="Verdana"/>
        </w:rPr>
        <w:t>lho</w:t>
      </w:r>
      <w:r w:rsidR="00A55DEF" w:rsidRPr="000B079F">
        <w:rPr>
          <w:rFonts w:eastAsia="Verdana"/>
        </w:rPr>
        <w:t xml:space="preserve"> de 201</w:t>
      </w:r>
      <w:r w:rsidR="00C96AEF" w:rsidRPr="000B079F">
        <w:rPr>
          <w:rFonts w:eastAsia="Verdana"/>
        </w:rPr>
        <w:t>9</w:t>
      </w:r>
      <w:r w:rsidR="00A55DEF" w:rsidRPr="000B079F">
        <w:rPr>
          <w:rFonts w:eastAsia="Verdana"/>
        </w:rPr>
        <w:t>.</w:t>
      </w:r>
    </w:p>
    <w:p w:rsidR="000A662A" w:rsidRDefault="000A662A" w:rsidP="00DE05AD">
      <w:pPr>
        <w:ind w:right="113"/>
        <w:rPr>
          <w:rFonts w:eastAsia="Verdana"/>
        </w:rPr>
      </w:pPr>
    </w:p>
    <w:p w:rsidR="00D90AA1" w:rsidRDefault="00D90AA1" w:rsidP="00D90AA1">
      <w:pPr>
        <w:ind w:right="113"/>
        <w:jc w:val="center"/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4354"/>
      </w:tblGrid>
      <w:tr w:rsidR="00D90AA1" w:rsidTr="00D90AA1">
        <w:trPr>
          <w:trHeight w:val="294"/>
        </w:trPr>
        <w:tc>
          <w:tcPr>
            <w:tcW w:w="4678" w:type="dxa"/>
            <w:shd w:val="clear" w:color="auto" w:fill="FFFFFF"/>
            <w:hideMark/>
          </w:tcPr>
          <w:p w:rsidR="00D90AA1" w:rsidRDefault="00D90AA1">
            <w:pPr>
              <w:spacing w:line="276" w:lineRule="auto"/>
              <w:ind w:right="417"/>
            </w:pPr>
            <w:r>
              <w:rPr>
                <w:b/>
              </w:rPr>
              <w:t>Daniel Marcos Szwec dos Santos Fernandes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000001"/>
              <w:right w:val="nil"/>
            </w:tcBorders>
            <w:shd w:val="clear" w:color="auto" w:fill="FFFFFF"/>
          </w:tcPr>
          <w:p w:rsidR="00D90AA1" w:rsidRDefault="00D90AA1">
            <w:pPr>
              <w:snapToGrid w:val="0"/>
              <w:spacing w:line="276" w:lineRule="auto"/>
              <w:ind w:left="-142" w:right="417"/>
            </w:pPr>
          </w:p>
        </w:tc>
      </w:tr>
      <w:tr w:rsidR="00D90AA1" w:rsidTr="00D90AA1">
        <w:trPr>
          <w:trHeight w:val="55"/>
        </w:trPr>
        <w:tc>
          <w:tcPr>
            <w:tcW w:w="4678" w:type="dxa"/>
            <w:shd w:val="clear" w:color="auto" w:fill="FFFFFF"/>
            <w:hideMark/>
          </w:tcPr>
          <w:p w:rsidR="00D90AA1" w:rsidRDefault="00D90AA1">
            <w:pPr>
              <w:spacing w:line="276" w:lineRule="auto"/>
              <w:ind w:right="417"/>
            </w:pPr>
            <w:r>
              <w:t>Coordenador</w:t>
            </w:r>
          </w:p>
        </w:tc>
        <w:tc>
          <w:tcPr>
            <w:tcW w:w="4354" w:type="dxa"/>
            <w:tcBorders>
              <w:top w:val="single" w:sz="4" w:space="0" w:color="000001"/>
              <w:left w:val="nil"/>
              <w:bottom w:val="nil"/>
              <w:right w:val="nil"/>
            </w:tcBorders>
            <w:shd w:val="clear" w:color="auto" w:fill="FFFFFF"/>
          </w:tcPr>
          <w:p w:rsidR="00D90AA1" w:rsidRDefault="00D90AA1">
            <w:pPr>
              <w:snapToGrid w:val="0"/>
              <w:spacing w:line="276" w:lineRule="auto"/>
              <w:ind w:left="-142" w:right="417"/>
            </w:pPr>
          </w:p>
        </w:tc>
      </w:tr>
      <w:tr w:rsidR="002B385C" w:rsidRPr="000B079F" w:rsidTr="008D4857">
        <w:tblPrEx>
          <w:tblLook w:val="0000" w:firstRow="0" w:lastRow="0" w:firstColumn="0" w:lastColumn="0" w:noHBand="0" w:noVBand="0"/>
        </w:tblPrEx>
        <w:trPr>
          <w:trHeight w:val="294"/>
        </w:trPr>
        <w:tc>
          <w:tcPr>
            <w:tcW w:w="4678" w:type="dxa"/>
            <w:shd w:val="clear" w:color="auto" w:fill="FFFFFF"/>
          </w:tcPr>
          <w:p w:rsidR="002B385C" w:rsidRPr="000B079F" w:rsidRDefault="008D4857" w:rsidP="00E57C59">
            <w:pPr>
              <w:spacing w:line="276" w:lineRule="auto"/>
              <w:ind w:right="417"/>
            </w:pPr>
            <w:r>
              <w:rPr>
                <w:b/>
              </w:rPr>
              <w:t>João Gilberto de Carvalho Accioly</w:t>
            </w:r>
          </w:p>
        </w:tc>
        <w:tc>
          <w:tcPr>
            <w:tcW w:w="4354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0B079F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  <w:tr w:rsidR="002B385C" w:rsidRPr="000B079F" w:rsidTr="008D4857">
        <w:tblPrEx>
          <w:tblLook w:val="0000" w:firstRow="0" w:lastRow="0" w:firstColumn="0" w:lastColumn="0" w:noHBand="0" w:noVBand="0"/>
        </w:tblPrEx>
        <w:trPr>
          <w:trHeight w:val="55"/>
        </w:trPr>
        <w:tc>
          <w:tcPr>
            <w:tcW w:w="4678" w:type="dxa"/>
            <w:shd w:val="clear" w:color="auto" w:fill="FFFFFF"/>
          </w:tcPr>
          <w:p w:rsidR="002B385C" w:rsidRPr="000B079F" w:rsidRDefault="008D4857" w:rsidP="00081705">
            <w:pPr>
              <w:spacing w:line="276" w:lineRule="auto"/>
              <w:ind w:right="417"/>
            </w:pPr>
            <w:r>
              <w:t>Coordenador-adjunto</w:t>
            </w:r>
          </w:p>
        </w:tc>
        <w:tc>
          <w:tcPr>
            <w:tcW w:w="4354" w:type="dxa"/>
            <w:tcBorders>
              <w:top w:val="single" w:sz="3" w:space="0" w:color="000001"/>
            </w:tcBorders>
            <w:shd w:val="clear" w:color="auto" w:fill="FFFFFF"/>
          </w:tcPr>
          <w:p w:rsidR="002B385C" w:rsidRPr="000B079F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tbl>
      <w:tblPr>
        <w:tblpPr w:leftFromText="141" w:rightFromText="141" w:bottomFromText="200" w:vertAnchor="text" w:horzAnchor="margin" w:tblpX="108" w:tblpY="70"/>
        <w:tblW w:w="9025" w:type="dxa"/>
        <w:tblLook w:val="04A0" w:firstRow="1" w:lastRow="0" w:firstColumn="1" w:lastColumn="0" w:noHBand="0" w:noVBand="1"/>
      </w:tblPr>
      <w:tblGrid>
        <w:gridCol w:w="4678"/>
        <w:gridCol w:w="4347"/>
      </w:tblGrid>
      <w:tr w:rsidR="007D7158" w:rsidRPr="000B079F" w:rsidTr="007D7158">
        <w:trPr>
          <w:trHeight w:val="265"/>
        </w:trPr>
        <w:tc>
          <w:tcPr>
            <w:tcW w:w="4678" w:type="dxa"/>
            <w:hideMark/>
          </w:tcPr>
          <w:p w:rsidR="007D7158" w:rsidRPr="008172E9" w:rsidRDefault="008D4857" w:rsidP="007D7158">
            <w:pPr>
              <w:suppressAutoHyphens/>
              <w:spacing w:line="276" w:lineRule="auto"/>
              <w:ind w:right="417"/>
              <w:rPr>
                <w:b/>
              </w:rPr>
            </w:pPr>
            <w:r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7158" w:rsidRPr="008172E9" w:rsidRDefault="007D7158" w:rsidP="007D7158">
            <w:pPr>
              <w:suppressAutoHyphens/>
              <w:spacing w:line="276" w:lineRule="auto"/>
              <w:ind w:left="-142" w:right="417"/>
            </w:pPr>
          </w:p>
        </w:tc>
      </w:tr>
      <w:tr w:rsidR="007D7158" w:rsidRPr="000B079F" w:rsidTr="007D7158">
        <w:trPr>
          <w:trHeight w:val="49"/>
        </w:trPr>
        <w:tc>
          <w:tcPr>
            <w:tcW w:w="4678" w:type="dxa"/>
            <w:hideMark/>
          </w:tcPr>
          <w:p w:rsidR="007D7158" w:rsidRPr="000B079F" w:rsidRDefault="008D4857" w:rsidP="007D7158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>
              <w:t>Membro em titularidade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7158" w:rsidRPr="000B079F" w:rsidRDefault="007D7158" w:rsidP="000A662A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  <w:tr w:rsidR="008172E9" w:rsidRPr="008172E9" w:rsidTr="00C00F1B">
        <w:trPr>
          <w:trHeight w:val="265"/>
        </w:trPr>
        <w:tc>
          <w:tcPr>
            <w:tcW w:w="4678" w:type="dxa"/>
            <w:hideMark/>
          </w:tcPr>
          <w:p w:rsidR="008172E9" w:rsidRPr="008172E9" w:rsidRDefault="008172E9" w:rsidP="00C00F1B">
            <w:pPr>
              <w:suppressAutoHyphens/>
              <w:spacing w:line="276" w:lineRule="auto"/>
              <w:ind w:right="417"/>
              <w:rPr>
                <w:b/>
              </w:rPr>
            </w:pPr>
            <w:r>
              <w:rPr>
                <w:b/>
              </w:rPr>
              <w:t>Gabriela de Souza Tenorio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2E9" w:rsidRPr="008172E9" w:rsidRDefault="008172E9" w:rsidP="00C00F1B">
            <w:pPr>
              <w:suppressAutoHyphens/>
              <w:spacing w:line="276" w:lineRule="auto"/>
              <w:ind w:left="-142" w:right="417"/>
            </w:pPr>
          </w:p>
        </w:tc>
      </w:tr>
      <w:tr w:rsidR="008172E9" w:rsidRPr="000B079F" w:rsidTr="00C00F1B">
        <w:trPr>
          <w:trHeight w:val="49"/>
        </w:trPr>
        <w:tc>
          <w:tcPr>
            <w:tcW w:w="4678" w:type="dxa"/>
            <w:hideMark/>
          </w:tcPr>
          <w:p w:rsidR="008172E9" w:rsidRPr="000B079F" w:rsidRDefault="008172E9" w:rsidP="00C00F1B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>
              <w:t>Membro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172E9" w:rsidRPr="000B079F" w:rsidRDefault="008172E9" w:rsidP="00C00F1B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</w:tbl>
    <w:p w:rsidR="00BE5656" w:rsidRPr="000B079F" w:rsidRDefault="00BE5656" w:rsidP="00DE05AD">
      <w:pPr>
        <w:tabs>
          <w:tab w:val="left" w:pos="1077"/>
        </w:tabs>
        <w:spacing w:line="276" w:lineRule="auto"/>
        <w:ind w:right="417"/>
      </w:pPr>
    </w:p>
    <w:sectPr w:rsidR="00BE5656" w:rsidRPr="000B079F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A38" w:rsidRDefault="00A74A38">
      <w:r>
        <w:separator/>
      </w:r>
    </w:p>
  </w:endnote>
  <w:endnote w:type="continuationSeparator" w:id="0">
    <w:p w:rsidR="00A74A38" w:rsidRDefault="00A74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A38" w:rsidRDefault="00A74A3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220DEA24" wp14:editId="0ADC24E6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0312AC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0312AC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A74A38" w:rsidRPr="00030DEF" w:rsidRDefault="00A74A38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A74A38" w:rsidRPr="00030DEF" w:rsidRDefault="00A74A38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A38" w:rsidRDefault="00A74A38">
      <w:r>
        <w:separator/>
      </w:r>
    </w:p>
  </w:footnote>
  <w:footnote w:type="continuationSeparator" w:id="0">
    <w:p w:rsidR="00A74A38" w:rsidRDefault="00A74A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A38" w:rsidRDefault="000312A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A38" w:rsidRPr="008B6F05" w:rsidRDefault="00A74A38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2668915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A38" w:rsidRDefault="000312A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177253D"/>
    <w:multiLevelType w:val="hybridMultilevel"/>
    <w:tmpl w:val="8006FB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5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3"/>
  </w:num>
  <w:num w:numId="5">
    <w:abstractNumId w:val="18"/>
  </w:num>
  <w:num w:numId="6">
    <w:abstractNumId w:val="7"/>
  </w:num>
  <w:num w:numId="7">
    <w:abstractNumId w:val="16"/>
  </w:num>
  <w:num w:numId="8">
    <w:abstractNumId w:val="12"/>
  </w:num>
  <w:num w:numId="9">
    <w:abstractNumId w:val="11"/>
  </w:num>
  <w:num w:numId="10">
    <w:abstractNumId w:val="0"/>
  </w:num>
  <w:num w:numId="11">
    <w:abstractNumId w:val="1"/>
  </w:num>
  <w:num w:numId="12">
    <w:abstractNumId w:val="10"/>
  </w:num>
  <w:num w:numId="13">
    <w:abstractNumId w:val="8"/>
  </w:num>
  <w:num w:numId="14">
    <w:abstractNumId w:val="2"/>
  </w:num>
  <w:num w:numId="15">
    <w:abstractNumId w:val="14"/>
  </w:num>
  <w:num w:numId="16">
    <w:abstractNumId w:val="5"/>
  </w:num>
  <w:num w:numId="17">
    <w:abstractNumId w:val="15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031A"/>
    <w:rsid w:val="000140E8"/>
    <w:rsid w:val="000203A0"/>
    <w:rsid w:val="000209EA"/>
    <w:rsid w:val="00027AC6"/>
    <w:rsid w:val="000306A0"/>
    <w:rsid w:val="00030DEF"/>
    <w:rsid w:val="000312AC"/>
    <w:rsid w:val="0004176A"/>
    <w:rsid w:val="000417D8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A662A"/>
    <w:rsid w:val="000B079F"/>
    <w:rsid w:val="000B5043"/>
    <w:rsid w:val="000B55E3"/>
    <w:rsid w:val="000C633A"/>
    <w:rsid w:val="000C7D14"/>
    <w:rsid w:val="000D1A4E"/>
    <w:rsid w:val="000D5760"/>
    <w:rsid w:val="000E2C83"/>
    <w:rsid w:val="000E488A"/>
    <w:rsid w:val="000F0094"/>
    <w:rsid w:val="0011416F"/>
    <w:rsid w:val="00114422"/>
    <w:rsid w:val="00116088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22B2"/>
    <w:rsid w:val="00204668"/>
    <w:rsid w:val="00212093"/>
    <w:rsid w:val="00214003"/>
    <w:rsid w:val="00214419"/>
    <w:rsid w:val="002179AA"/>
    <w:rsid w:val="00222EAF"/>
    <w:rsid w:val="00225689"/>
    <w:rsid w:val="00226E4A"/>
    <w:rsid w:val="002320A5"/>
    <w:rsid w:val="002430D6"/>
    <w:rsid w:val="002549DA"/>
    <w:rsid w:val="00256F85"/>
    <w:rsid w:val="00267C70"/>
    <w:rsid w:val="00267DB3"/>
    <w:rsid w:val="002748D6"/>
    <w:rsid w:val="00275867"/>
    <w:rsid w:val="00280C5F"/>
    <w:rsid w:val="00285C4E"/>
    <w:rsid w:val="00294E6A"/>
    <w:rsid w:val="00295D39"/>
    <w:rsid w:val="002A0538"/>
    <w:rsid w:val="002A0C1F"/>
    <w:rsid w:val="002A2997"/>
    <w:rsid w:val="002A71B6"/>
    <w:rsid w:val="002B3559"/>
    <w:rsid w:val="002B385C"/>
    <w:rsid w:val="002B5F9F"/>
    <w:rsid w:val="002C3F0E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ECB"/>
    <w:rsid w:val="003779A3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4F6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45CD"/>
    <w:rsid w:val="004A6F9C"/>
    <w:rsid w:val="004B10E0"/>
    <w:rsid w:val="004B789E"/>
    <w:rsid w:val="004C37DF"/>
    <w:rsid w:val="004E2D58"/>
    <w:rsid w:val="004E76DB"/>
    <w:rsid w:val="004F3AFB"/>
    <w:rsid w:val="0050103C"/>
    <w:rsid w:val="0050107C"/>
    <w:rsid w:val="00502782"/>
    <w:rsid w:val="00507974"/>
    <w:rsid w:val="00510681"/>
    <w:rsid w:val="005144EB"/>
    <w:rsid w:val="00515CF3"/>
    <w:rsid w:val="00532B11"/>
    <w:rsid w:val="00533297"/>
    <w:rsid w:val="005374B0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5DA9"/>
    <w:rsid w:val="005C7F36"/>
    <w:rsid w:val="005D40D5"/>
    <w:rsid w:val="005D62B0"/>
    <w:rsid w:val="005E0662"/>
    <w:rsid w:val="005F4D45"/>
    <w:rsid w:val="005F4DCB"/>
    <w:rsid w:val="005F7E4F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36521"/>
    <w:rsid w:val="00640C74"/>
    <w:rsid w:val="00664655"/>
    <w:rsid w:val="00674461"/>
    <w:rsid w:val="006768A2"/>
    <w:rsid w:val="00682000"/>
    <w:rsid w:val="00682F62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E02CA"/>
    <w:rsid w:val="007014B4"/>
    <w:rsid w:val="007026B2"/>
    <w:rsid w:val="007208D6"/>
    <w:rsid w:val="00722E61"/>
    <w:rsid w:val="0072737B"/>
    <w:rsid w:val="00727ADF"/>
    <w:rsid w:val="00732C26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1DBF"/>
    <w:rsid w:val="007A40A1"/>
    <w:rsid w:val="007B28F0"/>
    <w:rsid w:val="007B48E5"/>
    <w:rsid w:val="007C5049"/>
    <w:rsid w:val="007C5142"/>
    <w:rsid w:val="007D457A"/>
    <w:rsid w:val="007D7158"/>
    <w:rsid w:val="007E1A25"/>
    <w:rsid w:val="007E4B17"/>
    <w:rsid w:val="007E4B5A"/>
    <w:rsid w:val="007E50D4"/>
    <w:rsid w:val="007E5D02"/>
    <w:rsid w:val="007F0366"/>
    <w:rsid w:val="007F2272"/>
    <w:rsid w:val="007F4750"/>
    <w:rsid w:val="007F4AFE"/>
    <w:rsid w:val="007F5436"/>
    <w:rsid w:val="0080576F"/>
    <w:rsid w:val="00816A29"/>
    <w:rsid w:val="008172E9"/>
    <w:rsid w:val="008204C2"/>
    <w:rsid w:val="00823E22"/>
    <w:rsid w:val="00831975"/>
    <w:rsid w:val="00831CAD"/>
    <w:rsid w:val="0085419C"/>
    <w:rsid w:val="00855019"/>
    <w:rsid w:val="00866ACB"/>
    <w:rsid w:val="00867D96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4857"/>
    <w:rsid w:val="008D68E9"/>
    <w:rsid w:val="008E059F"/>
    <w:rsid w:val="008F0963"/>
    <w:rsid w:val="00900F04"/>
    <w:rsid w:val="009212CE"/>
    <w:rsid w:val="00932817"/>
    <w:rsid w:val="009358C1"/>
    <w:rsid w:val="009400BC"/>
    <w:rsid w:val="0094422A"/>
    <w:rsid w:val="00960E64"/>
    <w:rsid w:val="00963E23"/>
    <w:rsid w:val="00972D42"/>
    <w:rsid w:val="00975B54"/>
    <w:rsid w:val="009872C8"/>
    <w:rsid w:val="00997A39"/>
    <w:rsid w:val="009A5903"/>
    <w:rsid w:val="009B659B"/>
    <w:rsid w:val="009B6D67"/>
    <w:rsid w:val="009B7C6B"/>
    <w:rsid w:val="009C0F42"/>
    <w:rsid w:val="009C2607"/>
    <w:rsid w:val="009C2CCC"/>
    <w:rsid w:val="009C37C1"/>
    <w:rsid w:val="009C4E90"/>
    <w:rsid w:val="009C517D"/>
    <w:rsid w:val="009C7C44"/>
    <w:rsid w:val="009D190D"/>
    <w:rsid w:val="009D1914"/>
    <w:rsid w:val="009E136F"/>
    <w:rsid w:val="009E1FDE"/>
    <w:rsid w:val="009E34DB"/>
    <w:rsid w:val="009E4BEA"/>
    <w:rsid w:val="00A00654"/>
    <w:rsid w:val="00A04F84"/>
    <w:rsid w:val="00A05589"/>
    <w:rsid w:val="00A1131E"/>
    <w:rsid w:val="00A22760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74A38"/>
    <w:rsid w:val="00A83A43"/>
    <w:rsid w:val="00A875DB"/>
    <w:rsid w:val="00A94A5F"/>
    <w:rsid w:val="00A977AB"/>
    <w:rsid w:val="00AA30BD"/>
    <w:rsid w:val="00AA37E5"/>
    <w:rsid w:val="00AB01DB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046AA"/>
    <w:rsid w:val="00B11094"/>
    <w:rsid w:val="00B13E1B"/>
    <w:rsid w:val="00B318FF"/>
    <w:rsid w:val="00B362EE"/>
    <w:rsid w:val="00B40C60"/>
    <w:rsid w:val="00B51B20"/>
    <w:rsid w:val="00B532F3"/>
    <w:rsid w:val="00B73427"/>
    <w:rsid w:val="00B73926"/>
    <w:rsid w:val="00B75C3F"/>
    <w:rsid w:val="00B8007D"/>
    <w:rsid w:val="00B9254B"/>
    <w:rsid w:val="00B95B2A"/>
    <w:rsid w:val="00BA54FE"/>
    <w:rsid w:val="00BA6927"/>
    <w:rsid w:val="00BB2C72"/>
    <w:rsid w:val="00BC09DA"/>
    <w:rsid w:val="00BC158D"/>
    <w:rsid w:val="00BC495D"/>
    <w:rsid w:val="00BE5272"/>
    <w:rsid w:val="00BE5656"/>
    <w:rsid w:val="00BE5E48"/>
    <w:rsid w:val="00BE6078"/>
    <w:rsid w:val="00BF4446"/>
    <w:rsid w:val="00C00F1B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57FD3"/>
    <w:rsid w:val="00C6057C"/>
    <w:rsid w:val="00C60657"/>
    <w:rsid w:val="00C60E6D"/>
    <w:rsid w:val="00C62967"/>
    <w:rsid w:val="00C62E90"/>
    <w:rsid w:val="00C70937"/>
    <w:rsid w:val="00C71364"/>
    <w:rsid w:val="00C722B9"/>
    <w:rsid w:val="00C75B65"/>
    <w:rsid w:val="00C75EF0"/>
    <w:rsid w:val="00C82F5C"/>
    <w:rsid w:val="00C865EE"/>
    <w:rsid w:val="00C926D9"/>
    <w:rsid w:val="00C94D98"/>
    <w:rsid w:val="00C96AEF"/>
    <w:rsid w:val="00CA1EED"/>
    <w:rsid w:val="00CA3B08"/>
    <w:rsid w:val="00CA6C2B"/>
    <w:rsid w:val="00CB2C97"/>
    <w:rsid w:val="00CC16E1"/>
    <w:rsid w:val="00CC1E63"/>
    <w:rsid w:val="00CC6D37"/>
    <w:rsid w:val="00CD1EA1"/>
    <w:rsid w:val="00CE2DF7"/>
    <w:rsid w:val="00CE78A4"/>
    <w:rsid w:val="00CF438A"/>
    <w:rsid w:val="00D0135B"/>
    <w:rsid w:val="00D024B9"/>
    <w:rsid w:val="00D17658"/>
    <w:rsid w:val="00D20D64"/>
    <w:rsid w:val="00D217AA"/>
    <w:rsid w:val="00D27412"/>
    <w:rsid w:val="00D41554"/>
    <w:rsid w:val="00D514B3"/>
    <w:rsid w:val="00D52660"/>
    <w:rsid w:val="00D714E1"/>
    <w:rsid w:val="00D824DB"/>
    <w:rsid w:val="00D82BC6"/>
    <w:rsid w:val="00D8507C"/>
    <w:rsid w:val="00D87C53"/>
    <w:rsid w:val="00D9077F"/>
    <w:rsid w:val="00D90AA1"/>
    <w:rsid w:val="00DA210E"/>
    <w:rsid w:val="00DA3157"/>
    <w:rsid w:val="00DB02E7"/>
    <w:rsid w:val="00DC04DD"/>
    <w:rsid w:val="00DC0F26"/>
    <w:rsid w:val="00DC4053"/>
    <w:rsid w:val="00DD3594"/>
    <w:rsid w:val="00DD3A26"/>
    <w:rsid w:val="00DD7796"/>
    <w:rsid w:val="00DE05AD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66417"/>
    <w:rsid w:val="00E80ED3"/>
    <w:rsid w:val="00E81F03"/>
    <w:rsid w:val="00E91300"/>
    <w:rsid w:val="00E919EB"/>
    <w:rsid w:val="00EB5CC7"/>
    <w:rsid w:val="00EB69E4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053"/>
    <w:rsid w:val="00FA4DEC"/>
    <w:rsid w:val="00FB11AA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D8507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D850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1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CAD99-D465-4286-AF2B-0B6C64654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281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50</cp:revision>
  <cp:lastPrinted>2019-08-07T16:18:00Z</cp:lastPrinted>
  <dcterms:created xsi:type="dcterms:W3CDTF">2019-02-11T12:33:00Z</dcterms:created>
  <dcterms:modified xsi:type="dcterms:W3CDTF">2019-08-07T16:19:00Z</dcterms:modified>
</cp:coreProperties>
</file>