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D1917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650194/2018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9D1917" w:rsidP="009D1917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FLÁVIO SOARES SILVA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9602AB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9D1917">
              <w:rPr>
                <w:rFonts w:ascii="Times New Roman" w:hAnsi="Times New Roman"/>
                <w:sz w:val="22"/>
                <w:szCs w:val="22"/>
              </w:rPr>
              <w:t>REGISTRO DE RESPONSABILIDADE TÉCNICA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D1917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9D1917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883F9C" w:rsidRPr="00883F9C">
        <w:rPr>
          <w:rFonts w:ascii="Times New Roman" w:eastAsia="Verdana" w:hAnsi="Times New Roman"/>
          <w:sz w:val="22"/>
          <w:szCs w:val="22"/>
        </w:rPr>
        <w:t xml:space="preserve">do auto de infração n.º 1000060599/2017 </w:t>
      </w:r>
      <w:r w:rsidR="003A2623">
        <w:rPr>
          <w:rFonts w:ascii="Times New Roman" w:eastAsia="Verdana" w:hAnsi="Times New Roman"/>
          <w:sz w:val="22"/>
          <w:szCs w:val="22"/>
        </w:rPr>
        <w:t>em desfavor do arquiteto e urbanista Flávio Soares Silva, por ausência de Registro de Responsabilidade Técnica – RRT.</w:t>
      </w: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O presente processo originou-se a partir de denúncia apresentada pessoalmente ao CAU/DF no dia 28 de setembro de 2016 e protocolada sob o n.º 429041/2016, referente a supostas irregularidades na execução de obra de reforma de residência localizada no lote 21 da rua E da Quadra QC7, Setor </w:t>
      </w:r>
      <w:proofErr w:type="spellStart"/>
      <w:r>
        <w:rPr>
          <w:rFonts w:ascii="Times New Roman" w:eastAsia="Verdana" w:hAnsi="Times New Roman"/>
          <w:sz w:val="22"/>
          <w:szCs w:val="22"/>
        </w:rPr>
        <w:t>Hanitacional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Mangueiral - SHMA/DF;</w:t>
      </w: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3A2623">
        <w:rPr>
          <w:rFonts w:ascii="Times New Roman" w:eastAsia="Verdana" w:hAnsi="Times New Roman"/>
          <w:sz w:val="22"/>
          <w:szCs w:val="22"/>
        </w:rPr>
        <w:t>Primeiro é citada a Arq. Urb. Sandra Cristina W. da Silva, não tendo sido comprovada a sua oficial participação em obra irregular, e depois o Arq. Urb. Flávio Soares Silva, que registrou o RRT Extemporâneo nº 6214416, como responsáv</w:t>
      </w:r>
      <w:r>
        <w:rPr>
          <w:rFonts w:ascii="Times New Roman" w:eastAsia="Verdana" w:hAnsi="Times New Roman"/>
          <w:sz w:val="22"/>
          <w:szCs w:val="22"/>
        </w:rPr>
        <w:t>el técnico pela obra do Lote 21;</w:t>
      </w:r>
    </w:p>
    <w:p w:rsidR="003A2623" w:rsidRP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3A2623">
        <w:rPr>
          <w:rFonts w:ascii="Times New Roman" w:eastAsia="Verdana" w:hAnsi="Times New Roman"/>
          <w:sz w:val="22"/>
          <w:szCs w:val="22"/>
        </w:rPr>
        <w:t>Embora trate o presente processo exclusivamente de RRT Extemporâneo inconcluso, convém registrar que todas as obras de reformas nas quadras condominiais do SHMA são consideradas irregulares. Não é pertinente na concepção dos projetos a ampliação de área, sobretudo se tratando de sistemas construtivos de paredes autoportantes de concreto. Ainda assim, as administrações condominiais ignoram a ocorrência, ou pior, supostamente se julgam competentes para “autorizar</w:t>
      </w:r>
      <w:r>
        <w:rPr>
          <w:rFonts w:ascii="Times New Roman" w:eastAsia="Verdana" w:hAnsi="Times New Roman"/>
          <w:sz w:val="22"/>
          <w:szCs w:val="22"/>
        </w:rPr>
        <w:t>” essas construções irregulares;</w:t>
      </w:r>
    </w:p>
    <w:p w:rsidR="003A2623" w:rsidRP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3A2623">
        <w:rPr>
          <w:rFonts w:ascii="Times New Roman" w:eastAsia="Verdana" w:hAnsi="Times New Roman"/>
          <w:sz w:val="22"/>
          <w:szCs w:val="22"/>
        </w:rPr>
        <w:t>Não se trata aqui se a referida obra carece de fundamentação estrutural para sua execução, e sim que “flagrantemente” constitui obra irregular, sobre a qual não se admite desconhecimento por parte dos arquitetos, mesmo que existam dúvidas em r</w:t>
      </w:r>
      <w:r>
        <w:rPr>
          <w:rFonts w:ascii="Times New Roman" w:eastAsia="Verdana" w:hAnsi="Times New Roman"/>
          <w:sz w:val="22"/>
          <w:szCs w:val="22"/>
        </w:rPr>
        <w:t>elação à legislação urbanística;</w:t>
      </w: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2623" w:rsidRDefault="003A2623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possibilidade de haver indícios de falta ético-disciplinar, ou ausência de boas práticas profissionais e que n</w:t>
      </w:r>
      <w:r w:rsidRPr="003A2623">
        <w:rPr>
          <w:rFonts w:ascii="Times New Roman" w:eastAsia="Verdana" w:hAnsi="Times New Roman"/>
          <w:sz w:val="22"/>
          <w:szCs w:val="22"/>
        </w:rPr>
        <w:t>ão cabe ao CAU/DF intervir na análise, muito menos a aprovação, dessas obras irregulares, mas compete concluir que não se trata de uma boa prática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291C8A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001F05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91C8A">
        <w:rPr>
          <w:rFonts w:ascii="Times New Roman" w:eastAsia="Verdana" w:hAnsi="Times New Roman"/>
          <w:sz w:val="22"/>
          <w:szCs w:val="22"/>
        </w:rPr>
        <w:t>(fl</w:t>
      </w:r>
      <w:r w:rsidR="00883F9C">
        <w:rPr>
          <w:rFonts w:ascii="Times New Roman" w:eastAsia="Verdana" w:hAnsi="Times New Roman"/>
          <w:sz w:val="22"/>
          <w:szCs w:val="22"/>
        </w:rPr>
        <w:t>s. 4</w:t>
      </w:r>
      <w:r w:rsidR="00001F05">
        <w:rPr>
          <w:rFonts w:ascii="Times New Roman" w:eastAsia="Verdana" w:hAnsi="Times New Roman"/>
          <w:sz w:val="22"/>
          <w:szCs w:val="22"/>
        </w:rPr>
        <w:t>1</w:t>
      </w:r>
      <w:r w:rsidR="00883F9C">
        <w:rPr>
          <w:rFonts w:ascii="Times New Roman" w:eastAsia="Verdana" w:hAnsi="Times New Roman"/>
          <w:sz w:val="22"/>
          <w:szCs w:val="22"/>
        </w:rPr>
        <w:t xml:space="preserve"> e 42</w:t>
      </w:r>
      <w:r w:rsidR="00291C8A">
        <w:rPr>
          <w:rFonts w:ascii="Times New Roman" w:eastAsia="Verdana" w:hAnsi="Times New Roman"/>
          <w:sz w:val="22"/>
          <w:szCs w:val="22"/>
        </w:rPr>
        <w:t>);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DF7F2D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883F9C">
        <w:rPr>
          <w:rFonts w:ascii="Times New Roman" w:eastAsia="Verdana" w:hAnsi="Times New Roman"/>
          <w:sz w:val="22"/>
          <w:szCs w:val="22"/>
        </w:rPr>
        <w:t>:</w:t>
      </w:r>
    </w:p>
    <w:p w:rsidR="00883F9C" w:rsidRPr="00883F9C" w:rsidRDefault="00883F9C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Pr="00883F9C">
        <w:rPr>
          <w:rFonts w:ascii="Times New Roman" w:eastAsia="Verdana" w:hAnsi="Times New Roman"/>
          <w:sz w:val="22"/>
          <w:szCs w:val="22"/>
        </w:rPr>
        <w:t>Pela confirmação multa do auto de infração n.º 1000060599/2017 em desfavor do Arq. Urb. Flávio Soares Silva;</w:t>
      </w:r>
    </w:p>
    <w:p w:rsidR="00001F05" w:rsidRDefault="00883F9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2 - </w:t>
      </w:r>
      <w:r w:rsidRPr="00883F9C">
        <w:rPr>
          <w:rFonts w:ascii="Times New Roman" w:eastAsia="Verdana" w:hAnsi="Times New Roman"/>
          <w:sz w:val="22"/>
          <w:szCs w:val="22"/>
        </w:rPr>
        <w:t>Que em seguida remetida à CED a avaliação de que a participação de arquitetos e urbanistas em obras irregulares no SHMA, e ainda de que a protelação no pagamento da multa de RRT, constituem faltas éticas.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bookmarkStart w:id="0" w:name="_GoBack"/>
      <w:bookmarkEnd w:id="0"/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5707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5707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5707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A419-411E-4DB6-9845-37F38132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2</cp:revision>
  <cp:lastPrinted>2019-05-07T18:37:00Z</cp:lastPrinted>
  <dcterms:created xsi:type="dcterms:W3CDTF">2019-05-07T19:21:00Z</dcterms:created>
  <dcterms:modified xsi:type="dcterms:W3CDTF">2019-05-07T19:21:00Z</dcterms:modified>
</cp:coreProperties>
</file>