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8D1A37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694008/2018</w:t>
            </w:r>
          </w:p>
        </w:tc>
      </w:tr>
      <w:tr w:rsidR="001D782A" w:rsidRPr="00A21F2A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82A" w:rsidRPr="001D782A" w:rsidRDefault="008E6BAB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1D782A" w:rsidRPr="00892D04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82A" w:rsidRPr="004B0D27" w:rsidRDefault="008D1A37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4B0D2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8D1A37">
              <w:rPr>
                <w:rFonts w:ascii="Times New Roman" w:hAnsi="Times New Roman"/>
                <w:b/>
                <w:sz w:val="22"/>
                <w:szCs w:val="22"/>
              </w:rPr>
              <w:t>-A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DD5D9F" w:rsidRDefault="00DD5D9F" w:rsidP="0094025C">
      <w:pPr>
        <w:pStyle w:val="Cabealho"/>
        <w:tabs>
          <w:tab w:val="left" w:pos="4962"/>
        </w:tabs>
        <w:spacing w:line="276" w:lineRule="auto"/>
        <w:ind w:right="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63210" w:rsidRPr="004B0D27" w:rsidRDefault="00E6274C" w:rsidP="008D1A37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4B0D27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4B0D27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1D782A" w:rsidRPr="004B0D27">
        <w:rPr>
          <w:rFonts w:ascii="Times New Roman" w:eastAsia="Verdana" w:hAnsi="Times New Roman"/>
          <w:sz w:val="22"/>
          <w:szCs w:val="22"/>
        </w:rPr>
        <w:t>24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</w:t>
      </w:r>
      <w:r w:rsidR="001D782A" w:rsidRPr="004B0D27">
        <w:rPr>
          <w:rFonts w:ascii="Times New Roman" w:eastAsia="Verdana" w:hAnsi="Times New Roman"/>
          <w:sz w:val="22"/>
          <w:szCs w:val="22"/>
        </w:rPr>
        <w:t>jul</w:t>
      </w:r>
      <w:r w:rsidR="007C76BE" w:rsidRPr="004B0D27">
        <w:rPr>
          <w:rFonts w:ascii="Times New Roman" w:eastAsia="Verdana" w:hAnsi="Times New Roman"/>
          <w:sz w:val="22"/>
          <w:szCs w:val="22"/>
        </w:rPr>
        <w:t>ho</w:t>
      </w:r>
      <w:r w:rsidR="00BD1832" w:rsidRPr="004B0D27">
        <w:rPr>
          <w:rFonts w:ascii="Times New Roman" w:eastAsia="Verdana" w:hAnsi="Times New Roman"/>
          <w:sz w:val="22"/>
          <w:szCs w:val="22"/>
        </w:rPr>
        <w:t xml:space="preserve"> de 2018</w:t>
      </w:r>
      <w:r w:rsidRPr="004B0D27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4B0D27" w:rsidRPr="004B0D27" w:rsidRDefault="004B0D27" w:rsidP="008D1A37">
      <w:pPr>
        <w:pStyle w:val="Ttulo2"/>
        <w:jc w:val="both"/>
        <w:rPr>
          <w:rFonts w:ascii="Times New Roman" w:eastAsia="Verdana" w:hAnsi="Times New Roman" w:cs="Times New Roman"/>
          <w:color w:val="auto"/>
          <w:sz w:val="22"/>
          <w:szCs w:val="22"/>
        </w:rPr>
      </w:pPr>
    </w:p>
    <w:p w:rsidR="00DE731F" w:rsidRPr="004B0D27" w:rsidRDefault="00634C67" w:rsidP="008D1A37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D27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</w:t>
      </w:r>
      <w:r w:rsidR="00BA473E" w:rsidRPr="004B0D27">
        <w:rPr>
          <w:rFonts w:ascii="Times New Roman" w:hAnsi="Times New Roman" w:cs="Times New Roman"/>
          <w:color w:val="auto"/>
          <w:sz w:val="22"/>
          <w:szCs w:val="22"/>
        </w:rPr>
        <w:t>onal da Arquitetura e Urbanismo[...]</w:t>
      </w:r>
      <w:r w:rsidRPr="004B0D27"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1D782A" w:rsidRPr="004B0D27" w:rsidRDefault="001D782A" w:rsidP="008D1A37">
      <w:pPr>
        <w:rPr>
          <w:sz w:val="22"/>
          <w:szCs w:val="22"/>
        </w:rPr>
      </w:pPr>
    </w:p>
    <w:p w:rsidR="00DD5D9F" w:rsidRPr="004B0D27" w:rsidRDefault="004B0D27" w:rsidP="008D1A37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Trata o presente processo</w:t>
      </w:r>
      <w:r w:rsidR="008D1A37">
        <w:rPr>
          <w:rFonts w:ascii="Times New Roman" w:eastAsia="Verdana" w:hAnsi="Times New Roman"/>
          <w:sz w:val="22"/>
          <w:szCs w:val="22"/>
        </w:rPr>
        <w:t xml:space="preserve"> de denúncia em desfavor do senhor </w:t>
      </w:r>
      <w:r w:rsidR="008E6BA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D1A37">
        <w:rPr>
          <w:rFonts w:ascii="Times New Roman" w:eastAsia="Verdana" w:hAnsi="Times New Roman"/>
          <w:sz w:val="22"/>
          <w:szCs w:val="22"/>
        </w:rPr>
        <w:t>, referente a ausência do Registro no Conselho de Arquitetura e Urbanismo;</w:t>
      </w:r>
    </w:p>
    <w:p w:rsidR="004B0D27" w:rsidRPr="004B0D27" w:rsidRDefault="004B0D27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8D1A37" w:rsidRDefault="004B0D27" w:rsidP="008D1A37">
      <w:pPr>
        <w:jc w:val="both"/>
        <w:rPr>
          <w:rFonts w:ascii="Times New Roman" w:hAnsi="Times New Roman"/>
          <w:sz w:val="22"/>
          <w:szCs w:val="22"/>
        </w:rPr>
      </w:pPr>
      <w:r w:rsidRPr="004B0D27">
        <w:rPr>
          <w:rFonts w:ascii="Times New Roman" w:hAnsi="Times New Roman"/>
          <w:sz w:val="22"/>
          <w:szCs w:val="22"/>
        </w:rPr>
        <w:t>Considerando</w:t>
      </w:r>
      <w:r w:rsidR="008D1A37">
        <w:rPr>
          <w:rFonts w:ascii="Times New Roman" w:hAnsi="Times New Roman"/>
          <w:sz w:val="22"/>
          <w:szCs w:val="22"/>
        </w:rPr>
        <w:t xml:space="preserve"> o relatório de instrução da fiscal do CAU/DF Lívia Brandão, que expõe a atuação pública do denunciado como arquiteto.</w:t>
      </w:r>
    </w:p>
    <w:p w:rsidR="008D1A37" w:rsidRDefault="008D1A37" w:rsidP="008D1A37">
      <w:pPr>
        <w:jc w:val="both"/>
        <w:rPr>
          <w:rFonts w:ascii="Times New Roman" w:hAnsi="Times New Roman"/>
          <w:sz w:val="22"/>
          <w:szCs w:val="22"/>
        </w:rPr>
      </w:pPr>
    </w:p>
    <w:p w:rsidR="008D1A37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ainda que o denunciado não pode ser notificado por apresentar endereço incompleto;</w:t>
      </w:r>
    </w:p>
    <w:p w:rsidR="008D1A37" w:rsidRDefault="008D1A37" w:rsidP="008D1A37">
      <w:pPr>
        <w:jc w:val="both"/>
        <w:rPr>
          <w:rFonts w:ascii="Times New Roman" w:hAnsi="Times New Roman"/>
          <w:sz w:val="22"/>
          <w:szCs w:val="22"/>
        </w:rPr>
      </w:pPr>
    </w:p>
    <w:p w:rsidR="008D1A37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perfil de Instagram do denunciado apresenta e-mail e telefones para contato – </w:t>
      </w:r>
      <w:r w:rsidR="008E6BA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8E6BA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</w:t>
      </w:r>
      <w:bookmarkStart w:id="0" w:name="_GoBack"/>
      <w:bookmarkEnd w:id="0"/>
      <w:r w:rsidR="008E6BA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</w:t>
      </w:r>
      <w:r>
        <w:rPr>
          <w:rFonts w:ascii="Times New Roman" w:hAnsi="Times New Roman"/>
          <w:sz w:val="22"/>
          <w:szCs w:val="22"/>
        </w:rPr>
        <w:t>;</w:t>
      </w:r>
    </w:p>
    <w:p w:rsidR="008D1A37" w:rsidRDefault="008D1A37" w:rsidP="008D1A37">
      <w:pPr>
        <w:jc w:val="both"/>
        <w:rPr>
          <w:rFonts w:ascii="Times New Roman" w:hAnsi="Times New Roman"/>
          <w:sz w:val="22"/>
          <w:szCs w:val="22"/>
        </w:rPr>
      </w:pPr>
    </w:p>
    <w:p w:rsidR="004B0D27" w:rsidRPr="004B0D27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relato e voto do conselheiro relator Pedro de Almeida Grilo (fl.15);  </w:t>
      </w:r>
    </w:p>
    <w:p w:rsidR="00DD5D9F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C76BE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4B0D27" w:rsidRDefault="004B0D27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4B0D27" w:rsidRPr="004B0D27" w:rsidRDefault="004B0D27" w:rsidP="00DD5D9F">
      <w:pPr>
        <w:jc w:val="both"/>
        <w:rPr>
          <w:rFonts w:ascii="Times New Roman" w:eastAsia="Verdana" w:hAnsi="Times New Roman"/>
          <w:sz w:val="22"/>
          <w:szCs w:val="22"/>
        </w:rPr>
      </w:pPr>
      <w:r w:rsidRPr="004B0D27">
        <w:rPr>
          <w:rFonts w:ascii="Times New Roman" w:eastAsia="Verdana" w:hAnsi="Times New Roman"/>
          <w:sz w:val="22"/>
          <w:szCs w:val="22"/>
        </w:rPr>
        <w:t>Por aprovar o relato e voto do conselheiro relator: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6737A3" w:rsidRDefault="004B0D27" w:rsidP="008D1A3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1 </w:t>
      </w:r>
      <w:r w:rsidR="008D1A37">
        <w:rPr>
          <w:rFonts w:ascii="Times New Roman" w:eastAsia="Verdana" w:hAnsi="Times New Roman"/>
          <w:sz w:val="22"/>
          <w:szCs w:val="22"/>
        </w:rPr>
        <w:t>–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8D1A37">
        <w:rPr>
          <w:rFonts w:ascii="Times New Roman" w:eastAsia="Verdana" w:hAnsi="Times New Roman"/>
          <w:sz w:val="22"/>
          <w:szCs w:val="22"/>
        </w:rPr>
        <w:t>Notificar o denunciado por e-mail e/ou telefone visando esclarecer seu endereço para notificação oficial;</w:t>
      </w:r>
    </w:p>
    <w:p w:rsidR="0094025C" w:rsidRDefault="008D1A37" w:rsidP="004B0D27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2 – Após cumprido prado de notificação, o processo deverá seguir o trâmite recomendado pela CEP-CAU/DF em casos de exercício ilegal da profissão, qual seja, a notificação preventiva ao Ministério Público e à Polícia Civil.</w:t>
      </w:r>
    </w:p>
    <w:p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2F33A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1D782A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1D782A">
        <w:rPr>
          <w:rFonts w:ascii="Times New Roman" w:eastAsia="Verdana" w:hAnsi="Times New Roman"/>
          <w:sz w:val="22"/>
          <w:szCs w:val="22"/>
        </w:rPr>
        <w:t>jul</w:t>
      </w:r>
      <w:r w:rsidR="007C76BE">
        <w:rPr>
          <w:rFonts w:ascii="Times New Roman" w:eastAsia="Verdana" w:hAnsi="Times New Roman"/>
          <w:sz w:val="22"/>
          <w:szCs w:val="22"/>
        </w:rPr>
        <w:t>h</w:t>
      </w:r>
      <w:r w:rsidR="002E5CCD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Pedro de Almeida Grilo</w:t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6737A3" w:rsidRDefault="006737A3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DD5D9F" w:rsidP="00BD1832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DD5D9F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E6B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E6B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E6BA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6BAB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A8CE-2B86-4B77-9B45-413388D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2019-04-10T15:17:00Z</cp:lastPrinted>
  <dcterms:created xsi:type="dcterms:W3CDTF">2019-04-10T15:40:00Z</dcterms:created>
  <dcterms:modified xsi:type="dcterms:W3CDTF">2020-03-02T16:40:00Z</dcterms:modified>
</cp:coreProperties>
</file>