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A87A76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643269</w:t>
            </w:r>
            <w:r w:rsidR="008D1A3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E560A6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2479FD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4B0D2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A87A76">
              <w:rPr>
                <w:rFonts w:ascii="Times New Roman" w:hAnsi="Times New Roman"/>
                <w:b/>
                <w:sz w:val="22"/>
                <w:szCs w:val="22"/>
              </w:rPr>
              <w:t>-B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B0D27" w:rsidRDefault="00E6274C" w:rsidP="002479FD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4B0D2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4B0D2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1D782A" w:rsidRPr="004B0D27">
        <w:rPr>
          <w:rFonts w:ascii="Times New Roman" w:eastAsia="Verdana" w:hAnsi="Times New Roman"/>
          <w:sz w:val="22"/>
          <w:szCs w:val="22"/>
        </w:rPr>
        <w:t>24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</w:t>
      </w:r>
      <w:r w:rsidR="001D782A" w:rsidRPr="004B0D27">
        <w:rPr>
          <w:rFonts w:ascii="Times New Roman" w:eastAsia="Verdana" w:hAnsi="Times New Roman"/>
          <w:sz w:val="22"/>
          <w:szCs w:val="22"/>
        </w:rPr>
        <w:t>jul</w:t>
      </w:r>
      <w:r w:rsidR="007C76BE" w:rsidRPr="004B0D27">
        <w:rPr>
          <w:rFonts w:ascii="Times New Roman" w:eastAsia="Verdana" w:hAnsi="Times New Roman"/>
          <w:sz w:val="22"/>
          <w:szCs w:val="22"/>
        </w:rPr>
        <w:t>ho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2018</w:t>
      </w:r>
      <w:r w:rsidRPr="004B0D2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2479FD" w:rsidRPr="002479FD" w:rsidRDefault="002479FD" w:rsidP="00183F81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:rsidR="001D782A" w:rsidRDefault="00634C67" w:rsidP="00183F81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D2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4B0D2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479FD" w:rsidRPr="002479FD" w:rsidRDefault="002479FD" w:rsidP="00183F81"/>
    <w:p w:rsidR="002479FD" w:rsidRDefault="004B0D27" w:rsidP="00183F81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Trata</w:t>
      </w:r>
      <w:r w:rsidR="002479FD">
        <w:rPr>
          <w:rFonts w:ascii="Times New Roman" w:eastAsia="Verdana" w:hAnsi="Times New Roman"/>
          <w:sz w:val="22"/>
          <w:szCs w:val="22"/>
        </w:rPr>
        <w:t>,</w:t>
      </w:r>
      <w:r w:rsidRPr="004B0D27">
        <w:rPr>
          <w:rFonts w:ascii="Times New Roman" w:eastAsia="Verdana" w:hAnsi="Times New Roman"/>
          <w:sz w:val="22"/>
          <w:szCs w:val="22"/>
        </w:rPr>
        <w:t xml:space="preserve"> o presente processo</w:t>
      </w:r>
      <w:r w:rsidR="002479FD">
        <w:rPr>
          <w:rFonts w:ascii="Times New Roman" w:eastAsia="Verdana" w:hAnsi="Times New Roman"/>
          <w:sz w:val="22"/>
          <w:szCs w:val="22"/>
        </w:rPr>
        <w:t>,</w:t>
      </w:r>
      <w:r w:rsidR="008D1A37">
        <w:rPr>
          <w:rFonts w:ascii="Times New Roman" w:eastAsia="Verdana" w:hAnsi="Times New Roman"/>
          <w:sz w:val="22"/>
          <w:szCs w:val="22"/>
        </w:rPr>
        <w:t xml:space="preserve"> de </w:t>
      </w:r>
      <w:r w:rsidR="002479FD">
        <w:rPr>
          <w:rFonts w:ascii="Times New Roman" w:eastAsia="Verdana" w:hAnsi="Times New Roman"/>
          <w:sz w:val="22"/>
          <w:szCs w:val="22"/>
        </w:rPr>
        <w:t>auto de infração</w:t>
      </w:r>
      <w:r w:rsidR="008D1A37">
        <w:rPr>
          <w:rFonts w:ascii="Times New Roman" w:eastAsia="Verdana" w:hAnsi="Times New Roman"/>
          <w:sz w:val="22"/>
          <w:szCs w:val="22"/>
        </w:rPr>
        <w:t xml:space="preserve"> em desfavor </w:t>
      </w:r>
      <w:r w:rsidR="002479FD">
        <w:rPr>
          <w:rFonts w:ascii="Times New Roman" w:eastAsia="Verdana" w:hAnsi="Times New Roman"/>
          <w:sz w:val="22"/>
          <w:szCs w:val="22"/>
        </w:rPr>
        <w:t xml:space="preserve">da empresa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479FD">
        <w:rPr>
          <w:rFonts w:ascii="Times New Roman" w:eastAsia="Verdana" w:hAnsi="Times New Roman"/>
          <w:sz w:val="22"/>
          <w:szCs w:val="22"/>
        </w:rPr>
        <w:t>, por ausência de registro no CAU;</w:t>
      </w:r>
    </w:p>
    <w:p w:rsidR="00183F81" w:rsidRDefault="00183F81" w:rsidP="00183F8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479FD" w:rsidRPr="002479FD" w:rsidRDefault="002479FD" w:rsidP="002479FD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>Diante dos fatos, submete-se ao exame e apreciação da Comissão de Exercício Profissional (CEP), as considerações a seguir apresentadas:</w:t>
      </w:r>
    </w:p>
    <w:p w:rsidR="002479FD" w:rsidRPr="002479FD" w:rsidRDefault="002479FD" w:rsidP="002479F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>Em consulta à JCDF, conforme certidões simplificadas anexas, temos que:</w:t>
      </w:r>
    </w:p>
    <w:p w:rsidR="002479FD" w:rsidRPr="002479FD" w:rsidRDefault="002479FD" w:rsidP="002479FD">
      <w:pPr>
        <w:pStyle w:val="PargrafodaLista"/>
        <w:numPr>
          <w:ilvl w:val="1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79FD">
        <w:rPr>
          <w:rFonts w:ascii="Times New Roman" w:hAnsi="Times New Roman"/>
          <w:color w:val="000000"/>
          <w:sz w:val="22"/>
          <w:szCs w:val="22"/>
        </w:rPr>
        <w:t xml:space="preserve">, que antes se chamava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79FD">
        <w:rPr>
          <w:rFonts w:ascii="Times New Roman" w:hAnsi="Times New Roman"/>
          <w:color w:val="000000"/>
          <w:sz w:val="22"/>
          <w:szCs w:val="22"/>
        </w:rPr>
        <w:t>, tem como objeto social Plotagens e Impressões, com capital social de R$ 10.000,00, não se trata de ME ou EPP.</w:t>
      </w:r>
    </w:p>
    <w:p w:rsidR="002479FD" w:rsidRPr="002479FD" w:rsidRDefault="002479FD" w:rsidP="002479FD">
      <w:pPr>
        <w:pStyle w:val="PargrafodaLista"/>
        <w:numPr>
          <w:ilvl w:val="1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79FD">
        <w:rPr>
          <w:rFonts w:ascii="Times New Roman" w:hAnsi="Times New Roman"/>
          <w:color w:val="000000"/>
          <w:sz w:val="22"/>
          <w:szCs w:val="22"/>
        </w:rPr>
        <w:t>, tem como objeto social elaboração de Projetos e Consultoria em Arquitetura, com capital social de R$ 10.000,00, e é ME.</w:t>
      </w:r>
    </w:p>
    <w:p w:rsidR="002479FD" w:rsidRPr="002479FD" w:rsidRDefault="002479FD" w:rsidP="002479F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A multa aplicada 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79FD">
        <w:rPr>
          <w:rFonts w:ascii="Times New Roman" w:hAnsi="Times New Roman"/>
          <w:color w:val="000000"/>
          <w:sz w:val="22"/>
          <w:szCs w:val="22"/>
        </w:rPr>
        <w:t>, representa mais de 50% do capital da empresa, não terá outra finalidade a não ser arrecadação, isso porque a empresa não deverá depois disso se registrar no CAU, continuará atuando como empresa de plotagens.</w:t>
      </w:r>
    </w:p>
    <w:p w:rsidR="002479FD" w:rsidRPr="002479FD" w:rsidRDefault="002479FD" w:rsidP="002479FD">
      <w:pPr>
        <w:spacing w:before="120" w:after="120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>Não estamos discordando da multa, é aplicada conforme a lei (1 a 10 anuidades?), porém qualquer punição deve ter como objetivo a satisfação da obrigação, ou seja, no caso a regularização da situação clandestina, não pode ser fonte de enriquecimento para o credor.</w:t>
      </w:r>
    </w:p>
    <w:p w:rsidR="002479FD" w:rsidRPr="002479FD" w:rsidRDefault="002479FD" w:rsidP="002479F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O contrato firmado em nome da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E560A6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2479FD">
        <w:rPr>
          <w:rFonts w:ascii="Times New Roman" w:hAnsi="Times New Roman"/>
          <w:color w:val="000000"/>
          <w:sz w:val="22"/>
          <w:szCs w:val="22"/>
        </w:rPr>
        <w:t xml:space="preserve">poderia se configurar em um artifício comumente utilizado para burlar obrigações fiscais, diante da carga tributária que assola as empresas, mas não se trata desse caso, posto que não é uma ME. </w:t>
      </w:r>
      <w:r w:rsidRPr="002479FD">
        <w:rPr>
          <w:rFonts w:ascii="Times New Roman" w:hAnsi="Times New Roman"/>
          <w:color w:val="000000"/>
          <w:sz w:val="22"/>
          <w:szCs w:val="22"/>
        </w:rPr>
        <w:br/>
        <w:t xml:space="preserve">A ME é 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E560A6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2479FD">
        <w:rPr>
          <w:rFonts w:ascii="Times New Roman" w:hAnsi="Times New Roman"/>
          <w:color w:val="000000"/>
          <w:sz w:val="22"/>
          <w:szCs w:val="22"/>
        </w:rPr>
        <w:t>e, nesse ponto, deve-se consultar a assessoria jurídica do CAU/DF para se certificar de que ME pode ter como objeto social projetos de arquitetura.</w:t>
      </w:r>
    </w:p>
    <w:p w:rsidR="002479FD" w:rsidRPr="002479FD" w:rsidRDefault="002479FD" w:rsidP="002479F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No seu recurso administrativo o arquiteto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E560A6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2479FD">
        <w:rPr>
          <w:rFonts w:ascii="Times New Roman" w:hAnsi="Times New Roman"/>
          <w:color w:val="000000"/>
          <w:sz w:val="22"/>
          <w:szCs w:val="22"/>
        </w:rPr>
        <w:t xml:space="preserve">afirma que a regularização da empresa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E560A6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2479FD">
        <w:rPr>
          <w:rFonts w:ascii="Times New Roman" w:hAnsi="Times New Roman"/>
          <w:color w:val="000000"/>
          <w:sz w:val="22"/>
          <w:szCs w:val="22"/>
        </w:rPr>
        <w:t>está em andamento, portanto, solicitamos a verificação do andamento do processo, e ainda a consulta do caso de ME de arquitetura.</w:t>
      </w:r>
    </w:p>
    <w:p w:rsidR="002479FD" w:rsidRDefault="002479FD" w:rsidP="002479F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 xml:space="preserve">Não é papel do CAU solicitar o refazimento do contrato com a Sra.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79FD">
        <w:rPr>
          <w:rFonts w:ascii="Times New Roman" w:hAnsi="Times New Roman"/>
          <w:color w:val="000000"/>
          <w:sz w:val="22"/>
          <w:szCs w:val="22"/>
        </w:rPr>
        <w:t>, mas podemos intermediar um acordo nesse sentido.</w:t>
      </w:r>
    </w:p>
    <w:p w:rsidR="00183F81" w:rsidRPr="002479FD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479FD" w:rsidRPr="002479FD" w:rsidRDefault="002479FD" w:rsidP="002479FD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>Com isso, teremos êxito em dois propósitos:</w:t>
      </w:r>
    </w:p>
    <w:p w:rsidR="002479FD" w:rsidRPr="002479FD" w:rsidRDefault="002479FD" w:rsidP="002479FD">
      <w:pPr>
        <w:pStyle w:val="PargrafodaLista"/>
        <w:numPr>
          <w:ilvl w:val="0"/>
          <w:numId w:val="12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479FD">
        <w:rPr>
          <w:rFonts w:ascii="Times New Roman" w:hAnsi="Times New Roman"/>
          <w:color w:val="000000"/>
          <w:sz w:val="22"/>
          <w:szCs w:val="22"/>
        </w:rPr>
        <w:t>Mais uma empresa regularizada no CAU, que passará a atuar em conformidade com a lei.</w:t>
      </w:r>
    </w:p>
    <w:p w:rsidR="004B0D27" w:rsidRPr="00183F81" w:rsidRDefault="002479FD" w:rsidP="00A06280">
      <w:pPr>
        <w:pStyle w:val="PargrafodaLista"/>
        <w:numPr>
          <w:ilvl w:val="0"/>
          <w:numId w:val="12"/>
        </w:numPr>
        <w:spacing w:before="120" w:after="120"/>
        <w:contextualSpacing/>
        <w:jc w:val="both"/>
        <w:rPr>
          <w:rFonts w:ascii="Times New Roman" w:eastAsia="Verdana" w:hAnsi="Times New Roman"/>
          <w:sz w:val="22"/>
          <w:szCs w:val="22"/>
        </w:rPr>
      </w:pPr>
      <w:r w:rsidRPr="00183F81">
        <w:rPr>
          <w:rFonts w:ascii="Times New Roman" w:hAnsi="Times New Roman"/>
          <w:color w:val="000000"/>
          <w:sz w:val="22"/>
          <w:szCs w:val="22"/>
        </w:rPr>
        <w:t xml:space="preserve">Atuaremos em favor do cliente, ou seja, a Sra.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183F81">
        <w:rPr>
          <w:rFonts w:ascii="Times New Roman" w:hAnsi="Times New Roman"/>
          <w:color w:val="000000"/>
          <w:sz w:val="22"/>
          <w:szCs w:val="22"/>
        </w:rPr>
        <w:t>, se for do seu interesse refazer o contrato, estará resguardada por lei.</w:t>
      </w:r>
    </w:p>
    <w:p w:rsid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183F81" w:rsidRPr="00183F81" w:rsidRDefault="00183F81" w:rsidP="00183F81">
      <w:pPr>
        <w:pStyle w:val="PargrafodaLista"/>
        <w:spacing w:before="120" w:after="120"/>
        <w:ind w:left="720"/>
        <w:contextualSpacing/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Pr="004B0D2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183F81">
        <w:rPr>
          <w:rFonts w:ascii="Times New Roman" w:hAnsi="Times New Roman"/>
          <w:sz w:val="22"/>
          <w:szCs w:val="22"/>
        </w:rPr>
        <w:t>Paulo Cavalcanti de Albuquerque (fl.12</w:t>
      </w:r>
      <w:r>
        <w:rPr>
          <w:rFonts w:ascii="Times New Roman" w:hAnsi="Times New Roman"/>
          <w:sz w:val="22"/>
          <w:szCs w:val="22"/>
        </w:rPr>
        <w:t xml:space="preserve">);  </w:t>
      </w:r>
    </w:p>
    <w:p w:rsidR="00DD5D9F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B0D27" w:rsidRDefault="004B0D27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4B0D27" w:rsidRPr="004B0D27" w:rsidRDefault="004B0D27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Por aprovar o relato e voto do conselheiro relator: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Default="004B0D27" w:rsidP="008D1A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</w:t>
      </w:r>
      <w:r w:rsidR="008D1A37">
        <w:rPr>
          <w:rFonts w:ascii="Times New Roman" w:eastAsia="Verdana" w:hAnsi="Times New Roman"/>
          <w:sz w:val="22"/>
          <w:szCs w:val="22"/>
        </w:rPr>
        <w:t>–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83F81" w:rsidRPr="00183F81">
        <w:rPr>
          <w:rFonts w:ascii="Times New Roman" w:eastAsia="Verdana" w:hAnsi="Times New Roman"/>
          <w:sz w:val="22"/>
          <w:szCs w:val="22"/>
        </w:rPr>
        <w:t>Pela suspensão da multa imposta à empresa de plotagens</w:t>
      </w:r>
      <w:r w:rsidR="008D1A37">
        <w:rPr>
          <w:rFonts w:ascii="Times New Roman" w:eastAsia="Verdana" w:hAnsi="Times New Roman"/>
          <w:sz w:val="22"/>
          <w:szCs w:val="22"/>
        </w:rPr>
        <w:t>;</w:t>
      </w:r>
    </w:p>
    <w:p w:rsidR="0094025C" w:rsidRDefault="008D1A37" w:rsidP="004B0D2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2 – </w:t>
      </w:r>
      <w:r w:rsidR="00183F81" w:rsidRPr="00183F81">
        <w:rPr>
          <w:rFonts w:ascii="Times New Roman" w:eastAsia="Verdana" w:hAnsi="Times New Roman"/>
          <w:sz w:val="22"/>
          <w:szCs w:val="22"/>
        </w:rPr>
        <w:t xml:space="preserve">Pelo estabelecimento de prazo para que o Arq. </w:t>
      </w:r>
      <w:r w:rsidR="00E560A6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bookmarkStart w:id="0" w:name="_GoBack"/>
      <w:bookmarkEnd w:id="0"/>
      <w:r w:rsidR="00183F81" w:rsidRPr="00183F81">
        <w:rPr>
          <w:rFonts w:ascii="Times New Roman" w:eastAsia="Verdana" w:hAnsi="Times New Roman"/>
          <w:sz w:val="22"/>
          <w:szCs w:val="22"/>
        </w:rPr>
        <w:t xml:space="preserve"> regularize a empresa</w:t>
      </w:r>
      <w:r w:rsidR="00183F81">
        <w:rPr>
          <w:rFonts w:ascii="Times New Roman" w:eastAsia="Verdana" w:hAnsi="Times New Roman"/>
          <w:sz w:val="22"/>
          <w:szCs w:val="22"/>
        </w:rPr>
        <w:t>;</w:t>
      </w:r>
    </w:p>
    <w:p w:rsidR="00183F81" w:rsidRDefault="00183F81" w:rsidP="004B0D2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3 - </w:t>
      </w:r>
      <w:r w:rsidRPr="00183F81">
        <w:rPr>
          <w:rFonts w:ascii="Times New Roman" w:eastAsia="Verdana" w:hAnsi="Times New Roman"/>
          <w:sz w:val="22"/>
          <w:szCs w:val="22"/>
        </w:rPr>
        <w:t>Pela intermediação de acordo entre cliente e contratado visando a regularização do contrato</w:t>
      </w:r>
      <w:r>
        <w:rPr>
          <w:rFonts w:ascii="Times New Roman" w:eastAsia="Verdana" w:hAnsi="Times New Roman"/>
          <w:sz w:val="22"/>
          <w:szCs w:val="22"/>
        </w:rPr>
        <w:t>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F33A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DD5D9F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560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560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560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11B"/>
    <w:multiLevelType w:val="hybridMultilevel"/>
    <w:tmpl w:val="FC5AC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179CB"/>
    <w:multiLevelType w:val="hybridMultilevel"/>
    <w:tmpl w:val="5202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3F81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479FD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87A76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0A6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76E5-6776-4B78-AEA7-D842665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2019-04-10T15:17:00Z</cp:lastPrinted>
  <dcterms:created xsi:type="dcterms:W3CDTF">2019-05-16T19:17:00Z</dcterms:created>
  <dcterms:modified xsi:type="dcterms:W3CDTF">2020-03-02T16:42:00Z</dcterms:modified>
</cp:coreProperties>
</file>