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1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4"/>
        <w:gridCol w:w="6945"/>
      </w:tblGrid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Ttulo2"/>
              <w:rPr>
                <w:b w:val="false"/>
                <w:b w:val="false"/>
                <w:szCs w:val="24"/>
              </w:rPr>
            </w:pPr>
            <w:r>
              <w:rPr>
                <w:b w:val="false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abealho"/>
              <w:tabs>
                <w:tab w:val="clear" w:pos="4320"/>
                <w:tab w:val="clear" w:pos="8640"/>
                <w:tab w:val="left" w:pos="2780" w:leader="none"/>
              </w:tabs>
              <w:spacing w:lineRule="atLeast" w:line="240"/>
              <w:ind w:right="113" w:hanging="0"/>
              <w:rPr/>
            </w:pPr>
            <w:r>
              <w:rPr>
                <w:sz w:val="24"/>
                <w:szCs w:val="24"/>
              </w:rPr>
              <w:t>1087219/2020</w:t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Cabealho"/>
              <w:spacing w:lineRule="atLeast" w:line="240"/>
              <w:rPr>
                <w:b/>
                <w:b/>
              </w:rPr>
            </w:pPr>
            <w:r>
              <w:rPr/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abealho"/>
              <w:spacing w:lineRule="atLeast" w:line="240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>
        <w:trPr>
          <w:trHeight w:val="94" w:hRule="atLeast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Cabealho"/>
              <w:spacing w:lineRule="atLeast" w:line="240"/>
              <w:rPr/>
            </w:pPr>
            <w:r>
              <w:rPr/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hd w:val="clear" w:color="auto" w:fill="FFFFFF"/>
              <w:spacing w:lineRule="exact" w:line="244" w:before="4" w:after="0"/>
              <w:jc w:val="both"/>
              <w:rPr>
                <w:rFonts w:ascii="Times New Roman" w:hAnsi="Times New Roman" w:cs="Times New Roman"/>
                <w:color w:val="222124"/>
                <w:highlight w:val="white"/>
                <w:lang w:eastAsia="en-US"/>
              </w:rPr>
            </w:pPr>
            <w:r>
              <w:rPr>
                <w:rFonts w:eastAsia="Times New Roman" w:cs="Times New Roman"/>
                <w:color w:val="222124"/>
                <w:highlight w:val="white"/>
                <w:lang w:val="pt-BR" w:eastAsia="en-US"/>
              </w:rPr>
              <w:t xml:space="preserve">RELATÓRIO DE GESTÃO DO EXERCÍCIO DE 2019 </w:t>
            </w:r>
          </w:p>
        </w:tc>
      </w:tr>
    </w:tbl>
    <w:p>
      <w:pPr>
        <w:pStyle w:val="Cabealho"/>
        <w:spacing w:lineRule="atLeast" w:line="240"/>
        <w:jc w:val="center"/>
        <w:rPr>
          <w:b/>
          <w:b/>
        </w:rPr>
      </w:pPr>
      <w:r>
        <w:rPr>
          <w:b/>
        </w:rPr>
      </w:r>
    </w:p>
    <w:tbl>
      <w:tblPr>
        <w:tblW w:w="91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180"/>
      </w:tblGrid>
      <w:tr>
        <w:trPr/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color="auto" w:fill="F2F2F2" w:val="clear"/>
          </w:tcPr>
          <w:p>
            <w:pPr>
              <w:pStyle w:val="Cabealho"/>
              <w:spacing w:lineRule="atLeast" w:line="240"/>
              <w:jc w:val="center"/>
              <w:rPr/>
            </w:pPr>
            <w:r>
              <w:rPr>
                <w:b/>
              </w:rPr>
              <w:t>DELIBERAÇÃO PLENÁRIA DPODF Nº 03</w:t>
            </w:r>
            <w:r>
              <w:rPr>
                <w:rFonts w:eastAsia="Calibri" w:cs="Times New Roman"/>
                <w:b/>
                <w:color w:val="auto"/>
                <w:kern w:val="0"/>
                <w:sz w:val="24"/>
                <w:szCs w:val="24"/>
                <w:lang w:val="pt-BR" w:eastAsia="en-US" w:bidi="ar-SA"/>
              </w:rPr>
              <w:t>50</w:t>
            </w:r>
            <w:r>
              <w:rPr>
                <w:b/>
              </w:rPr>
              <w:t>/2020</w:t>
            </w:r>
          </w:p>
        </w:tc>
      </w:tr>
    </w:tbl>
    <w:p>
      <w:pPr>
        <w:pStyle w:val="Cabealho"/>
        <w:tabs>
          <w:tab w:val="center" w:pos="4320" w:leader="none"/>
          <w:tab w:val="left" w:pos="4962" w:leader="none"/>
          <w:tab w:val="right" w:pos="8640" w:leader="none"/>
        </w:tabs>
        <w:spacing w:lineRule="atLeast" w:line="240"/>
        <w:rPr/>
      </w:pPr>
      <w:r>
        <w:rPr/>
        <w:tab/>
        <w:tab/>
      </w:r>
    </w:p>
    <w:p>
      <w:pPr>
        <w:pStyle w:val="Cabealho"/>
        <w:spacing w:lineRule="atLeast" w:line="240"/>
        <w:ind w:left="5103" w:hanging="0"/>
        <w:rPr>
          <w:sz w:val="22"/>
          <w:szCs w:val="22"/>
        </w:rPr>
      </w:pPr>
      <w:r>
        <w:rPr>
          <w:rFonts w:eastAsia="Verdana" w:cs="Times New Roman"/>
          <w:bCs/>
          <w:color w:val="auto"/>
          <w:kern w:val="0"/>
          <w:sz w:val="22"/>
          <w:szCs w:val="22"/>
          <w:lang w:val="pt-BR" w:eastAsia="en-US" w:bidi="ar-SA"/>
        </w:rPr>
        <w:t>Aprova o Relatório de Gestão do CAU/DF, referente ao exercício de 2019</w:t>
      </w:r>
      <w:r>
        <w:rPr>
          <w:rFonts w:eastAsia="Verdana"/>
          <w:bCs/>
          <w:sz w:val="22"/>
          <w:szCs w:val="22"/>
        </w:rPr>
        <w:t>.</w:t>
      </w:r>
      <w:bookmarkStart w:id="0" w:name="_GoBack"/>
      <w:bookmarkEnd w:id="0"/>
    </w:p>
    <w:p>
      <w:pPr>
        <w:pStyle w:val="Normal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rFonts w:eastAsia="Verdana" w:cs="Times New Roman"/>
          <w:color w:val="auto"/>
          <w:kern w:val="0"/>
          <w:sz w:val="22"/>
          <w:szCs w:val="22"/>
          <w:lang w:val="pt-BR" w:eastAsia="en-US" w:bidi="ar-SA"/>
        </w:rPr>
        <w:t>por meio de videoconferência</w:t>
      </w:r>
      <w:r>
        <w:rPr>
          <w:rFonts w:eastAsia="Verdana"/>
          <w:sz w:val="22"/>
          <w:szCs w:val="22"/>
        </w:rPr>
        <w:t xml:space="preserve">, no dia </w:t>
      </w:r>
      <w:r>
        <w:rPr>
          <w:rFonts w:eastAsia="Verdana" w:cs="Times New Roman"/>
          <w:color w:val="auto"/>
          <w:kern w:val="0"/>
          <w:sz w:val="22"/>
          <w:szCs w:val="22"/>
          <w:lang w:val="pt-BR" w:eastAsia="en-US" w:bidi="ar-SA"/>
        </w:rPr>
        <w:t>2</w:t>
      </w:r>
      <w:r>
        <w:rPr>
          <w:rFonts w:eastAsia="Verdana"/>
          <w:sz w:val="22"/>
          <w:szCs w:val="22"/>
        </w:rPr>
        <w:t xml:space="preserve">7 de </w:t>
      </w:r>
      <w:r>
        <w:rPr>
          <w:rFonts w:eastAsia="Verdana" w:cs="Times New Roman"/>
          <w:color w:val="auto"/>
          <w:kern w:val="0"/>
          <w:sz w:val="22"/>
          <w:szCs w:val="22"/>
          <w:lang w:val="pt-BR" w:eastAsia="en-US" w:bidi="ar-SA"/>
        </w:rPr>
        <w:t>abril</w:t>
      </w:r>
      <w:r>
        <w:rPr>
          <w:rFonts w:eastAsia="Verdana"/>
          <w:sz w:val="22"/>
          <w:szCs w:val="22"/>
        </w:rPr>
        <w:t xml:space="preserve"> de 2020, após análise do assunto em epígrafe, e</w:t>
      </w:r>
    </w:p>
    <w:p>
      <w:pPr>
        <w:pStyle w:val="Normal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</w:t>
      </w:r>
      <w:r>
        <w:rPr>
          <w:rFonts w:eastAsia="Times New Roman" w:cs="Times New Roman"/>
          <w:sz w:val="22"/>
          <w:szCs w:val="22"/>
          <w:lang w:val="pt-BR"/>
        </w:rPr>
        <w:t>o disposto na Resolução nº 174, de 13 de dezembro de 2018, que “</w:t>
      </w:r>
      <w:r>
        <w:rPr>
          <w:rFonts w:eastAsia="Times New Roman" w:cs="Times New Roman"/>
          <w:b w:val="false"/>
          <w:bCs w:val="false"/>
          <w:i/>
          <w:iCs/>
          <w:color w:val="000000" w:themeColor="text1" w:themeShade="ff" w:themeTint="ff"/>
          <w:sz w:val="22"/>
          <w:szCs w:val="22"/>
          <w:lang w:val="pt-BR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>
        <w:rPr>
          <w:rFonts w:eastAsia="Times New Roman" w:cs="Times New Roman"/>
          <w:b/>
          <w:bCs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>.</w:t>
      </w:r>
      <w:r>
        <w:rPr>
          <w:rFonts w:eastAsia="Times New Roman" w:cs="Times New Roman"/>
          <w:sz w:val="22"/>
          <w:szCs w:val="22"/>
          <w:lang w:val="pt-BR"/>
        </w:rPr>
        <w:t xml:space="preserve">”; </w:t>
      </w:r>
    </w:p>
    <w:p>
      <w:pPr>
        <w:pStyle w:val="Normal"/>
        <w:rPr>
          <w:sz w:val="22"/>
          <w:szCs w:val="22"/>
        </w:rPr>
      </w:pPr>
      <w:r>
        <w:rPr>
          <w:rFonts w:eastAsia="Verdana"/>
          <w:sz w:val="22"/>
          <w:szCs w:val="22"/>
        </w:rPr>
        <w:br/>
      </w:r>
      <w:r>
        <w:rPr>
          <w:rFonts w:eastAsia="Times New Roman" w:cs="Times New Roman"/>
          <w:sz w:val="22"/>
          <w:szCs w:val="22"/>
          <w:lang w:val="pt-BR"/>
        </w:rPr>
        <w:t>Considerando análise do relatório com os resultados da Gestão no Exercício de 2019, apresentado aos órgãos de controle interno e externo como prestação de contas anual a qu</w:t>
      </w:r>
      <w:r>
        <w:rPr>
          <w:rFonts w:eastAsia="Times New Roman" w:cs="Times New Roman"/>
          <w:color w:val="auto"/>
          <w:kern w:val="0"/>
          <w:sz w:val="22"/>
          <w:szCs w:val="22"/>
          <w:lang w:val="pt-BR" w:eastAsia="en-US" w:bidi="ar-SA"/>
        </w:rPr>
        <w:t>al</w:t>
      </w:r>
      <w:r>
        <w:rPr>
          <w:rFonts w:eastAsia="Times New Roman" w:cs="Times New Roman"/>
          <w:sz w:val="22"/>
          <w:szCs w:val="22"/>
          <w:lang w:val="pt-BR"/>
        </w:rPr>
        <w:t xml:space="preserve"> esta Unidade está obrigada nos termos do art. 70 da Constituição Federal, apresentado pela Gerência Geral e Gerência Financeira do CAU/DF;e</w:t>
      </w:r>
    </w:p>
    <w:p>
      <w:pPr>
        <w:pStyle w:val="Normal"/>
        <w:rPr>
          <w:rFonts w:eastAsia="Times New Roman" w:cs="Times New Roman"/>
          <w:lang w:val="pt-BR"/>
        </w:rPr>
      </w:pPr>
      <w:r>
        <w:rPr>
          <w:rFonts w:eastAsia="Times New Roman" w:cs="Times New Roman"/>
          <w:lang w:val="pt-BR"/>
        </w:rPr>
      </w:r>
    </w:p>
    <w:p>
      <w:pPr>
        <w:pStyle w:val="Normal"/>
        <w:rPr>
          <w:sz w:val="22"/>
          <w:szCs w:val="22"/>
        </w:rPr>
      </w:pPr>
      <w:r>
        <w:rPr>
          <w:rFonts w:eastAsia="Times New Roman" w:cs="Times New Roman"/>
          <w:sz w:val="22"/>
          <w:szCs w:val="22"/>
          <w:lang w:val="pt-BR"/>
        </w:rPr>
        <w:t xml:space="preserve">Considerando a Deliberação n.º 005/2020 – CAF-CAU/DF, que aprova o </w:t>
      </w:r>
      <w:r>
        <w:rPr>
          <w:rFonts w:eastAsia="Times New Roman" w:cs="Times New Roman"/>
          <w:b w:val="false"/>
          <w:bCs w:val="false"/>
          <w:sz w:val="22"/>
          <w:szCs w:val="22"/>
          <w:lang w:val="pt-BR"/>
        </w:rPr>
        <w:t>Relatório de Gestão do CAU/DF referente ao exercício de 201</w:t>
      </w:r>
      <w:r>
        <w:rPr>
          <w:rFonts w:eastAsia="Times New Roman" w:cs="Times New Roman"/>
          <w:b w:val="false"/>
          <w:bCs w:val="false"/>
          <w:color w:val="auto"/>
          <w:kern w:val="0"/>
          <w:sz w:val="22"/>
          <w:szCs w:val="22"/>
          <w:lang w:val="pt-BR" w:eastAsia="en-US" w:bidi="ar-SA"/>
        </w:rPr>
        <w:t>9</w:t>
      </w:r>
      <w:r>
        <w:rPr>
          <w:rFonts w:eastAsia="Times New Roman" w:cs="Times New Roman"/>
          <w:b w:val="false"/>
          <w:bCs w:val="false"/>
          <w:sz w:val="22"/>
          <w:szCs w:val="22"/>
          <w:lang w:val="pt-BR"/>
        </w:rPr>
        <w:t>, com envio ao Plenário do CAU/DF para aprovação.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1 –  </w:t>
      </w:r>
      <w:r>
        <w:rPr>
          <w:rFonts w:eastAsia="Times New Roman" w:cs="Times New Roman"/>
          <w:b w:val="false"/>
          <w:bCs w:val="false"/>
          <w:sz w:val="22"/>
          <w:szCs w:val="22"/>
          <w:lang w:val="pt-BR"/>
        </w:rPr>
        <w:t>Pela aprovação do Relatório de Gestão do CAU/DF referente ao exercício de 201</w:t>
      </w:r>
      <w:r>
        <w:rPr>
          <w:rFonts w:eastAsia="Times New Roman" w:cs="Times New Roman"/>
          <w:b w:val="false"/>
          <w:bCs w:val="false"/>
          <w:color w:val="auto"/>
          <w:kern w:val="0"/>
          <w:sz w:val="22"/>
          <w:szCs w:val="22"/>
          <w:lang w:val="pt-BR" w:eastAsia="en-US" w:bidi="ar-SA"/>
        </w:rPr>
        <w:t>9</w:t>
      </w:r>
      <w:r>
        <w:rPr>
          <w:rFonts w:eastAsia="Times New Roman" w:cs="Times New Roman"/>
          <w:b w:val="false"/>
          <w:bCs w:val="false"/>
          <w:sz w:val="22"/>
          <w:szCs w:val="22"/>
          <w:lang w:val="pt-BR"/>
        </w:rPr>
        <w:t>, com  posterior encaminhamento ao CAU/BR para análise e homologação;</w:t>
      </w:r>
    </w:p>
    <w:p>
      <w:pPr>
        <w:pStyle w:val="Normal"/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</w:r>
    </w:p>
    <w:p>
      <w:pPr>
        <w:pStyle w:val="Normal"/>
        <w:rPr>
          <w:rFonts w:eastAsia="Verdana"/>
        </w:rPr>
      </w:pPr>
      <w:r>
        <w:rPr>
          <w:rFonts w:eastAsia="Verdana"/>
          <w:bCs/>
          <w:sz w:val="22"/>
          <w:szCs w:val="22"/>
        </w:rPr>
        <w:t xml:space="preserve">2 </w:t>
      </w:r>
      <w:r>
        <w:rPr>
          <w:rFonts w:eastAsia="Verdana"/>
          <w:sz w:val="22"/>
          <w:szCs w:val="22"/>
        </w:rPr>
        <w:t>– Encaminhar esta deliberação para publicação no sítio eletrônico do CAU/DF.</w:t>
      </w:r>
    </w:p>
    <w:p>
      <w:pPr>
        <w:pStyle w:val="Cabealho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rFonts w:eastAsia="Verdana"/>
        </w:rPr>
      </w:pPr>
      <w:r>
        <w:rPr>
          <w:rFonts w:eastAsia="Verdana"/>
          <w:sz w:val="22"/>
          <w:szCs w:val="22"/>
        </w:rPr>
        <w:t>Esta deliberação entra em vigor nesta data.</w:t>
      </w:r>
    </w:p>
    <w:p>
      <w:pPr>
        <w:pStyle w:val="Normal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  <w:lang w:eastAsia="pt-BR"/>
        </w:rPr>
        <w:t xml:space="preserve">Com </w:t>
      </w:r>
      <w:r>
        <w:rPr>
          <w:rFonts w:eastAsia="Calibri" w:cs="Times New Roman"/>
          <w:b/>
          <w:color w:val="auto"/>
          <w:kern w:val="0"/>
          <w:sz w:val="22"/>
          <w:szCs w:val="22"/>
          <w:lang w:val="pt-BR" w:eastAsia="pt-BR" w:bidi="ar-SA"/>
        </w:rPr>
        <w:t>10</w:t>
      </w:r>
      <w:r>
        <w:rPr>
          <w:b/>
          <w:bCs/>
          <w:sz w:val="22"/>
          <w:szCs w:val="22"/>
          <w:lang w:eastAsia="pt-BR"/>
        </w:rPr>
        <w:t xml:space="preserve"> votos favoráveis</w:t>
      </w:r>
      <w:r>
        <w:rPr>
          <w:sz w:val="22"/>
          <w:szCs w:val="22"/>
          <w:lang w:eastAsia="pt-BR"/>
        </w:rPr>
        <w:t xml:space="preserve"> dos conselheiros: </w:t>
      </w:r>
      <w:r>
        <w:rPr>
          <w:sz w:val="22"/>
          <w:szCs w:val="22"/>
          <w:lang w:eastAsia="pt-BR"/>
        </w:rPr>
        <w:t xml:space="preserve">André Bello, </w:t>
      </w:r>
      <w:r>
        <w:rPr>
          <w:sz w:val="22"/>
          <w:szCs w:val="22"/>
          <w:lang w:eastAsia="pt-BR"/>
        </w:rPr>
        <w:t xml:space="preserve">Antônio Menezes Júnior, </w:t>
      </w:r>
      <w:r>
        <w:rPr>
          <w:sz w:val="22"/>
          <w:szCs w:val="22"/>
          <w:lang w:eastAsia="pt-BR"/>
        </w:rPr>
        <w:t xml:space="preserve">Daniel Marcos Szwec dos Santos Fernandes, </w:t>
      </w:r>
      <w:r>
        <w:rPr>
          <w:sz w:val="22"/>
          <w:szCs w:val="22"/>
          <w:lang w:eastAsia="pt-BR"/>
        </w:rPr>
        <w:t xml:space="preserve">Gabriela de Souza Tenorio, Giselle Moll Mascarenhas, João Gilberto de Carvalho Accioly, Letícia Miguel Teixeira, Mônica Andréa Blanco, Pedro de Almeida Grilo e Rogério Markiewicz;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ausência;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voto contrário e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abstenção.</w:t>
      </w:r>
    </w:p>
    <w:p>
      <w:pPr>
        <w:pStyle w:val="Normal"/>
        <w:ind w:left="-142" w:hanging="0"/>
        <w:jc w:val="center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ind w:left="-142" w:hanging="0"/>
        <w:jc w:val="center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ind w:left="-142" w:hanging="0"/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Brasília - DF, </w:t>
      </w:r>
      <w:r>
        <w:rPr>
          <w:rFonts w:eastAsia="Verdana" w:cs="Times New Roman"/>
          <w:color w:val="auto"/>
          <w:kern w:val="0"/>
          <w:sz w:val="22"/>
          <w:szCs w:val="22"/>
          <w:lang w:val="pt-BR" w:eastAsia="en-US" w:bidi="ar-SA"/>
        </w:rPr>
        <w:t>2</w:t>
      </w:r>
      <w:r>
        <w:rPr>
          <w:rFonts w:eastAsia="Verdana"/>
          <w:sz w:val="22"/>
          <w:szCs w:val="22"/>
        </w:rPr>
        <w:t>7 de abril de 2020.</w:t>
      </w:r>
    </w:p>
    <w:p>
      <w:pPr>
        <w:pStyle w:val="Normal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</w:r>
    </w:p>
    <w:p>
      <w:pPr>
        <w:pStyle w:val="Normal"/>
        <w:ind w:left="-142" w:hanging="0"/>
        <w:jc w:val="center"/>
        <w:rPr>
          <w:rFonts w:eastAsia="Verdana"/>
          <w:b/>
          <w:b/>
        </w:rPr>
      </w:pPr>
      <w:r>
        <w:rPr>
          <w:rFonts w:eastAsia="Verdana"/>
          <w:b/>
          <w:sz w:val="22"/>
          <w:szCs w:val="22"/>
        </w:rPr>
        <w:t xml:space="preserve">Daniel Mangabeira da Vinha </w:t>
      </w:r>
    </w:p>
    <w:p>
      <w:pPr>
        <w:pStyle w:val="Normal"/>
        <w:ind w:left="-142" w:hanging="0"/>
        <w:jc w:val="center"/>
        <w:rPr/>
      </w:pPr>
      <w:r>
        <w:rPr>
          <w:rFonts w:eastAsia="Verdana"/>
          <w:sz w:val="22"/>
          <w:szCs w:val="22"/>
        </w:rPr>
        <w:t>Presidente do CAU/DF</w:t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284" w:top="1701" w:footer="227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1" allowOverlap="1" relativeHeight="2" wp14:anchorId="233D3F2A">
              <wp:simplePos x="0" y="0"/>
              <wp:positionH relativeFrom="margin">
                <wp:posOffset>-8255</wp:posOffset>
              </wp:positionH>
              <wp:positionV relativeFrom="paragraph">
                <wp:posOffset>-43815</wp:posOffset>
              </wp:positionV>
              <wp:extent cx="5736590" cy="12065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58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7pt,-3.85pt" to="450.9pt,-3.15pt" ID="Conector reto 3" stroked="t" style="position:absolute;flip:y;mso-position-horizontal-relative:margin" wp14:anchorId="233D3F2A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851" w:hanging="0"/>
      <w:jc w:val="center"/>
      <w:rPr>
        <w:rFonts w:ascii="DaxCondensed-Regular" w:hAnsi="DaxCondensed-Regular"/>
        <w:color w:val="1C3942"/>
        <w:sz w:val="8"/>
        <w:szCs w:val="8"/>
      </w:rPr>
    </w:pPr>
    <w:r>
      <w:rPr>
        <w:rFonts w:ascii="DaxCondensed-Regular" w:hAnsi="DaxCondensed-Regular"/>
        <w:color w:val="1C3942"/>
        <w:sz w:val="8"/>
        <w:szCs w:val="8"/>
      </w:rPr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left="-1701" w:right="-851" w:hanging="0"/>
      <w:jc w:val="left"/>
      <w:rPr/>
    </w:pPr>
    <w:r>
      <w:rPr/>
    </w:r>
  </w:p>
  <w:p>
    <w:pPr>
      <w:pStyle w:val="Rodap"/>
      <w:ind w:right="-851" w:hanging="0"/>
      <w:jc w:val="left"/>
      <w:rPr/>
    </w:pPr>
    <w:r>
      <w:rPr/>
    </w:r>
  </w:p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357212789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bidi w:val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Strong">
    <w:name w:val="Strong"/>
    <w:basedOn w:val="DefaultParagraphFont"/>
    <w:uiPriority w:val="22"/>
    <w:qFormat/>
    <w:rsid w:val="001412f5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8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8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8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f115f7"/>
    <w:pPr>
      <w:widowControl w:val="false"/>
      <w:suppressAutoHyphens w:val="tru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800BD-CCF1-43D6-9312-4A74AC0A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Application>LibreOffice/6.3.3.2$Windows_X86_64 LibreOffice_project/a64200df03143b798afd1ec74a12ab50359878ed</Application>
  <Pages>1</Pages>
  <Words>357</Words>
  <Characters>1943</Characters>
  <CharactersWithSpaces>2289</CharactersWithSpaces>
  <Paragraphs>25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2020-01-30T17:32:00Z</dcterms:created>
  <dc:creator>Anderson Viana</dc:creator>
  <dc:description/>
  <dc:language>pt-BR</dc:language>
  <cp:lastModifiedBy/>
  <cp:lastPrinted>2020-02-21T14:12:00Z</cp:lastPrinted>
  <dcterms:modified xsi:type="dcterms:W3CDTF">2020-04-28T09:17:45Z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