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2234"/>
        <w:gridCol w:w="6945"/>
      </w:tblGrid>
      <w:tr>
        <w:trPr/>
        <w:tc>
          <w:tcPr>
            <w:tcW w:w="2234" w:type="dxa"/>
            <w:tcBorders>
              <w:top w:val="single" w:sz="4" w:space="0" w:color="000000"/>
              <w:bottom w:val="single" w:sz="4" w:space="0" w:color="000000"/>
              <w:right w:val="single" w:sz="4" w:space="0" w:color="000000"/>
            </w:tcBorders>
            <w:shd w:color="auto" w:fill="F2F2F2" w:val="clear"/>
            <w:vAlign w:val="center"/>
          </w:tcPr>
          <w:p>
            <w:pPr>
              <w:pStyle w:val="Ttulo2"/>
              <w:rPr>
                <w:b w:val="false"/>
                <w:b w:val="false"/>
                <w:szCs w:val="24"/>
              </w:rPr>
            </w:pPr>
            <w:r>
              <w:rPr>
                <w:b w:val="false"/>
                <w:szCs w:val="24"/>
              </w:rPr>
              <w:t>PROCESSO</w:t>
            </w:r>
          </w:p>
        </w:tc>
        <w:tc>
          <w:tcPr>
            <w:tcW w:w="6945" w:type="dxa"/>
            <w:tcBorders>
              <w:top w:val="single" w:sz="4" w:space="0" w:color="000000"/>
              <w:left w:val="single" w:sz="4" w:space="0" w:color="000000"/>
              <w:bottom w:val="single" w:sz="4" w:space="0" w:color="000000"/>
            </w:tcBorders>
            <w:shd w:fill="auto" w:val="clear"/>
          </w:tcPr>
          <w:p>
            <w:pPr>
              <w:pStyle w:val="Cabealho"/>
              <w:tabs>
                <w:tab w:val="clear" w:pos="4320"/>
                <w:tab w:val="clear" w:pos="8640"/>
                <w:tab w:val="left" w:pos="2780" w:leader="none"/>
              </w:tabs>
              <w:spacing w:lineRule="atLeast" w:line="240"/>
              <w:ind w:right="113" w:hanging="0"/>
              <w:rPr>
                <w:rFonts w:ascii="Times New Roman" w:hAnsi="Times New Roman"/>
                <w:b w:val="false"/>
                <w:b w:val="false"/>
                <w:bCs w:val="false"/>
                <w:i w:val="false"/>
                <w:i w:val="false"/>
                <w:caps w:val="false"/>
                <w:smallCaps w:val="false"/>
                <w:color w:val="000000"/>
                <w:spacing w:val="0"/>
                <w:sz w:val="24"/>
                <w:szCs w:val="24"/>
              </w:rPr>
            </w:pPr>
            <w:r>
              <w:rPr>
                <w:b w:val="false"/>
                <w:bCs w:val="false"/>
                <w:i w:val="false"/>
                <w:caps w:val="false"/>
                <w:smallCaps w:val="false"/>
                <w:color w:val="000000"/>
                <w:spacing w:val="0"/>
                <w:sz w:val="24"/>
                <w:szCs w:val="24"/>
              </w:rPr>
            </w:r>
          </w:p>
        </w:tc>
      </w:tr>
      <w:tr>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b/>
                <w:b/>
              </w:rPr>
            </w:pPr>
            <w:r>
              <w:rPr/>
              <w:t>INTERRESSADO</w:t>
            </w:r>
          </w:p>
        </w:tc>
        <w:tc>
          <w:tcPr>
            <w:tcW w:w="6945" w:type="dxa"/>
            <w:tcBorders>
              <w:top w:val="single" w:sz="4" w:space="0" w:color="000000"/>
              <w:left w:val="single" w:sz="4" w:space="0" w:color="000000"/>
              <w:bottom w:val="single" w:sz="4" w:space="0" w:color="000000"/>
            </w:tcBorders>
            <w:shd w:fill="auto" w:val="clear"/>
            <w:vAlign w:val="center"/>
          </w:tcPr>
          <w:p>
            <w:pPr>
              <w:pStyle w:val="Cabealho"/>
              <w:spacing w:lineRule="atLeast" w:line="240"/>
              <w:rPr>
                <w:rFonts w:eastAsia="Times New Roman"/>
                <w:bCs/>
                <w:lang w:eastAsia="pt-BR"/>
              </w:rPr>
            </w:pPr>
            <w:r>
              <w:rPr>
                <w:rFonts w:eastAsia="Times New Roman"/>
                <w:bCs/>
                <w:lang w:eastAsia="pt-BR"/>
              </w:rPr>
              <w:t>CAU/DF</w:t>
            </w:r>
          </w:p>
        </w:tc>
      </w:tr>
      <w:tr>
        <w:trPr>
          <w:trHeight w:val="94" w:hRule="atLeast"/>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pPr>
            <w:r>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Normal"/>
              <w:shd w:val="clear" w:color="auto" w:fill="FFFFFF"/>
              <w:spacing w:lineRule="exact" w:line="244" w:before="4" w:after="0"/>
              <w:jc w:val="both"/>
              <w:rPr/>
            </w:pPr>
            <w:r>
              <w:rPr/>
              <w:t>HOMOLOGAÇÃO A COORDENAÇÃO E COORDENAÇÃO ADJUNTA DAS COMISSÕES PERMANENTES</w:t>
            </w:r>
          </w:p>
        </w:tc>
      </w:tr>
    </w:tbl>
    <w:p>
      <w:pPr>
        <w:pStyle w:val="Cabealho"/>
        <w:spacing w:lineRule="atLeast" w:line="240"/>
        <w:jc w:val="center"/>
        <w:rPr>
          <w:b/>
          <w:b/>
          <w:sz w:val="24"/>
          <w:szCs w:val="24"/>
        </w:rPr>
      </w:pPr>
      <w:r>
        <w:rPr>
          <w:b/>
          <w:sz w:val="24"/>
          <w:szCs w:val="24"/>
        </w:rPr>
      </w:r>
    </w:p>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9180"/>
      </w:tblGrid>
      <w:tr>
        <w:trPr/>
        <w:tc>
          <w:tcPr>
            <w:tcW w:w="9180" w:type="dxa"/>
            <w:tcBorders>
              <w:top w:val="single" w:sz="4" w:space="0" w:color="000000"/>
              <w:bottom w:val="single" w:sz="4" w:space="0" w:color="000000"/>
            </w:tcBorders>
            <w:shd w:color="auto" w:fill="F2F2F2" w:val="clear"/>
          </w:tcPr>
          <w:p>
            <w:pPr>
              <w:pStyle w:val="Cabealho"/>
              <w:spacing w:lineRule="atLeast" w:line="240"/>
              <w:jc w:val="center"/>
              <w:rPr>
                <w:sz w:val="24"/>
                <w:szCs w:val="24"/>
              </w:rPr>
            </w:pPr>
            <w:r>
              <w:rPr>
                <w:b/>
                <w:sz w:val="24"/>
                <w:szCs w:val="24"/>
              </w:rPr>
              <w:t>DELIBERAÇÃO PLENÁRIA DPODF Nº 03</w:t>
            </w:r>
            <w:r>
              <w:rPr>
                <w:rFonts w:eastAsia="Calibri" w:cs="Times New Roman"/>
                <w:b/>
                <w:color w:val="auto"/>
                <w:kern w:val="0"/>
                <w:sz w:val="24"/>
                <w:szCs w:val="24"/>
                <w:lang w:val="pt-BR" w:eastAsia="en-US" w:bidi="ar-SA"/>
              </w:rPr>
              <w:t>5</w:t>
            </w:r>
            <w:r>
              <w:rPr>
                <w:rFonts w:eastAsia="Calibri" w:cs="Times New Roman"/>
                <w:b/>
                <w:color w:val="auto"/>
                <w:kern w:val="0"/>
                <w:sz w:val="24"/>
                <w:szCs w:val="24"/>
                <w:lang w:val="pt-BR" w:eastAsia="en-US" w:bidi="ar-SA"/>
              </w:rPr>
              <w:t>6/</w:t>
            </w:r>
            <w:r>
              <w:rPr>
                <w:b/>
                <w:sz w:val="24"/>
                <w:szCs w:val="24"/>
              </w:rPr>
              <w:t>2020</w:t>
            </w:r>
          </w:p>
        </w:tc>
      </w:tr>
    </w:tbl>
    <w:p>
      <w:pPr>
        <w:pStyle w:val="Cabealho"/>
        <w:tabs>
          <w:tab w:val="center" w:pos="4320" w:leader="none"/>
          <w:tab w:val="left" w:pos="4962" w:leader="none"/>
          <w:tab w:val="right" w:pos="8640" w:leader="none"/>
        </w:tabs>
        <w:spacing w:lineRule="atLeast" w:line="240"/>
        <w:rPr>
          <w:sz w:val="24"/>
          <w:szCs w:val="24"/>
        </w:rPr>
      </w:pPr>
      <w:r>
        <w:rPr>
          <w:sz w:val="24"/>
          <w:szCs w:val="24"/>
        </w:rPr>
        <w:tab/>
        <w:tab/>
      </w:r>
    </w:p>
    <w:p>
      <w:pPr>
        <w:pStyle w:val="Cabealho"/>
        <w:spacing w:lineRule="atLeast" w:line="240"/>
        <w:ind w:left="5103" w:hanging="0"/>
        <w:rPr>
          <w:rFonts w:ascii="Times New Roman" w:hAnsi="Times New Roman" w:eastAsia="Verdana" w:cs="Times New Roman"/>
          <w:bCs/>
          <w:color w:val="auto"/>
          <w:kern w:val="0"/>
          <w:sz w:val="24"/>
          <w:szCs w:val="24"/>
          <w:lang w:val="pt-BR" w:eastAsia="en-US" w:bidi="ar-SA"/>
        </w:rPr>
      </w:pPr>
      <w:r>
        <w:rPr>
          <w:rFonts w:eastAsia="Verdana" w:cs="Times New Roman"/>
          <w:bCs/>
          <w:color w:val="auto"/>
          <w:kern w:val="0"/>
          <w:sz w:val="24"/>
          <w:szCs w:val="24"/>
          <w:lang w:val="pt-BR" w:eastAsia="en-US" w:bidi="ar-SA"/>
        </w:rPr>
        <w:t>Homologa as indicações para coordenador (a) e coordenador (a) adjunto (a) das Comissões Permanentes do Conselho de Arquitetura e Urbanismo do Distrito Federal.</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 xml:space="preserve">O PLENÁRIO DO CONSELHO DE ARQUITETURA E URBANISMO DO DISTRITO FEDERAL - CAU/DF, no uso das competências que lhe confere a seção II, art. 29, do Regimento Interno do CAU/DF, e reunido ordinariamente </w:t>
      </w:r>
      <w:r>
        <w:rPr>
          <w:rFonts w:eastAsia="Verdana" w:cs="Times New Roman"/>
          <w:color w:val="auto"/>
          <w:kern w:val="0"/>
          <w:sz w:val="24"/>
          <w:szCs w:val="24"/>
          <w:lang w:val="pt-BR" w:eastAsia="en-US" w:bidi="ar-SA"/>
        </w:rPr>
        <w:t>por meio de videoconferência</w:t>
      </w:r>
      <w:r>
        <w:rPr>
          <w:rFonts w:eastAsia="Verdana"/>
          <w:sz w:val="24"/>
          <w:szCs w:val="24"/>
        </w:rPr>
        <w:t xml:space="preserve">, no dia </w:t>
      </w:r>
      <w:r>
        <w:rPr>
          <w:rFonts w:eastAsia="Verdana" w:cs="Times New Roman"/>
          <w:color w:val="auto"/>
          <w:kern w:val="0"/>
          <w:sz w:val="24"/>
          <w:szCs w:val="24"/>
          <w:lang w:val="pt-BR" w:eastAsia="en-US" w:bidi="ar-SA"/>
        </w:rPr>
        <w:t>2</w:t>
      </w:r>
      <w:r>
        <w:rPr>
          <w:rFonts w:eastAsia="Verdana"/>
          <w:sz w:val="24"/>
          <w:szCs w:val="24"/>
        </w:rPr>
        <w:t xml:space="preserve">7 de </w:t>
      </w:r>
      <w:r>
        <w:rPr>
          <w:rFonts w:eastAsia="Verdana" w:cs="Times New Roman"/>
          <w:color w:val="auto"/>
          <w:kern w:val="0"/>
          <w:sz w:val="24"/>
          <w:szCs w:val="24"/>
          <w:lang w:val="pt-BR" w:eastAsia="en-US" w:bidi="ar-SA"/>
        </w:rPr>
        <w:t>abril</w:t>
      </w:r>
      <w:r>
        <w:rPr>
          <w:rFonts w:eastAsia="Verdana"/>
          <w:sz w:val="24"/>
          <w:szCs w:val="24"/>
        </w:rPr>
        <w:t xml:space="preserve"> de 2020, após análise do assunto em epígrafe, e</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Considerando aprovação da composição das comissões ordinárias do Conselho de Arquitetura e Urbanismo do Distrito Federal (CAU/DF), para o exercício de 20</w:t>
      </w:r>
      <w:r>
        <w:rPr>
          <w:rFonts w:eastAsia="Verdana" w:cs="Times New Roman"/>
          <w:color w:val="auto"/>
          <w:kern w:val="0"/>
          <w:sz w:val="24"/>
          <w:szCs w:val="24"/>
          <w:lang w:val="pt-BR" w:eastAsia="en-US" w:bidi="ar-SA"/>
        </w:rPr>
        <w:t>20</w:t>
      </w:r>
      <w:r>
        <w:rPr>
          <w:rFonts w:eastAsia="Verdana"/>
          <w:sz w:val="24"/>
          <w:szCs w:val="24"/>
        </w:rPr>
        <w:t>; e</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 xml:space="preserve">Considerando </w:t>
      </w:r>
      <w:r>
        <w:rPr>
          <w:rFonts w:eastAsia="Verdana"/>
          <w:bCs/>
          <w:sz w:val="24"/>
          <w:szCs w:val="24"/>
        </w:rPr>
        <w:t>os nomes indicados para coordenador e coordenador-adjunto das comissões permanentes do CAU/DF.</w:t>
      </w:r>
    </w:p>
    <w:p>
      <w:pPr>
        <w:pStyle w:val="Normal"/>
        <w:rPr>
          <w:b/>
          <w:b/>
          <w:sz w:val="24"/>
          <w:szCs w:val="24"/>
        </w:rPr>
      </w:pPr>
      <w:r>
        <w:rPr>
          <w:b/>
          <w:sz w:val="24"/>
          <w:szCs w:val="24"/>
        </w:rPr>
      </w:r>
    </w:p>
    <w:p>
      <w:pPr>
        <w:pStyle w:val="Normal"/>
        <w:rPr>
          <w:b/>
          <w:b/>
        </w:rPr>
      </w:pPr>
      <w:r>
        <w:rPr>
          <w:sz w:val="24"/>
          <w:szCs w:val="24"/>
        </w:rPr>
      </w:r>
    </w:p>
    <w:p>
      <w:pPr>
        <w:pStyle w:val="Normal"/>
        <w:rPr>
          <w:sz w:val="22"/>
          <w:szCs w:val="22"/>
        </w:rPr>
      </w:pPr>
      <w:r>
        <w:rPr>
          <w:b/>
          <w:sz w:val="24"/>
          <w:szCs w:val="24"/>
        </w:rPr>
        <w:t>DELIBEROU:</w:t>
      </w:r>
    </w:p>
    <w:p>
      <w:pPr>
        <w:pStyle w:val="Normal"/>
        <w:rPr>
          <w:sz w:val="24"/>
          <w:szCs w:val="24"/>
        </w:rPr>
      </w:pPr>
      <w:r>
        <w:rPr>
          <w:sz w:val="24"/>
          <w:szCs w:val="24"/>
        </w:rPr>
      </w:r>
    </w:p>
    <w:p>
      <w:pPr>
        <w:pStyle w:val="Normal"/>
        <w:rPr>
          <w:sz w:val="24"/>
          <w:szCs w:val="24"/>
        </w:rPr>
      </w:pPr>
      <w:r>
        <w:rPr>
          <w:rFonts w:eastAsia="Verdana"/>
          <w:sz w:val="24"/>
          <w:szCs w:val="24"/>
        </w:rPr>
        <w:t xml:space="preserve">1 – </w:t>
      </w:r>
      <w:r>
        <w:rPr>
          <w:rFonts w:eastAsia="Verdana"/>
          <w:bCs/>
          <w:sz w:val="24"/>
          <w:szCs w:val="24"/>
        </w:rPr>
        <w:t>Aprovar os nomes indicados para coordenador e coordenador-adjunto das comissões permanentes do CAU/DF referente ao exercício de 20</w:t>
      </w:r>
      <w:r>
        <w:rPr>
          <w:rFonts w:eastAsia="Verdana" w:cs="Times New Roman"/>
          <w:bCs/>
          <w:color w:val="auto"/>
          <w:kern w:val="0"/>
          <w:sz w:val="24"/>
          <w:szCs w:val="24"/>
          <w:lang w:val="pt-BR" w:eastAsia="en-US" w:bidi="ar-SA"/>
        </w:rPr>
        <w:t>20</w:t>
      </w:r>
      <w:r>
        <w:rPr>
          <w:rFonts w:eastAsia="Verdana"/>
          <w:bCs/>
          <w:sz w:val="24"/>
          <w:szCs w:val="24"/>
        </w:rPr>
        <w:t>;</w:t>
      </w:r>
    </w:p>
    <w:p>
      <w:pPr>
        <w:pStyle w:val="Normal"/>
        <w:rPr>
          <w:rFonts w:eastAsia="Verdana"/>
          <w:bCs/>
          <w:sz w:val="24"/>
          <w:szCs w:val="24"/>
        </w:rPr>
      </w:pPr>
      <w:r>
        <w:rPr>
          <w:rFonts w:eastAsia="Verdana"/>
          <w:bCs/>
          <w:sz w:val="24"/>
          <w:szCs w:val="24"/>
        </w:rPr>
      </w:r>
    </w:p>
    <w:p>
      <w:pPr>
        <w:pStyle w:val="Normal"/>
        <w:rPr>
          <w:sz w:val="24"/>
          <w:szCs w:val="24"/>
        </w:rPr>
      </w:pPr>
      <w:r>
        <w:rPr>
          <w:rFonts w:eastAsia="Verdana"/>
          <w:bCs/>
          <w:sz w:val="24"/>
          <w:szCs w:val="24"/>
        </w:rPr>
        <w:t>2 – As comissões ordinárias do Conselho de Arquitetura e Urbanismo do Distrito Federal (CAU/DF) terão como coordenador e coordenador-adjunto respectivamente:</w:t>
      </w:r>
    </w:p>
    <w:p>
      <w:pPr>
        <w:pStyle w:val="Normal"/>
        <w:spacing w:lineRule="auto" w:line="360"/>
        <w:rPr>
          <w:rFonts w:eastAsia="Verdana"/>
          <w:b/>
          <w:b/>
          <w:bCs/>
          <w:sz w:val="24"/>
          <w:szCs w:val="24"/>
        </w:rPr>
      </w:pPr>
      <w:r>
        <w:rPr>
          <w:rFonts w:eastAsia="Verdana"/>
          <w:b/>
          <w:bCs/>
          <w:sz w:val="24"/>
          <w:szCs w:val="24"/>
        </w:rPr>
      </w:r>
    </w:p>
    <w:p>
      <w:pPr>
        <w:pStyle w:val="Normal"/>
        <w:spacing w:lineRule="auto" w:line="360"/>
        <w:rPr>
          <w:sz w:val="24"/>
          <w:szCs w:val="24"/>
        </w:rPr>
      </w:pPr>
      <w:r>
        <w:rPr>
          <w:rFonts w:eastAsia="Verdana"/>
          <w:b/>
          <w:bCs/>
          <w:sz w:val="24"/>
          <w:szCs w:val="24"/>
        </w:rPr>
        <w:t>Comissão de Ensino e Formação do CAU/DF - CEF-CAU/DF</w:t>
      </w:r>
    </w:p>
    <w:p>
      <w:pPr>
        <w:pStyle w:val="Normal"/>
        <w:spacing w:lineRule="auto" w:line="360"/>
        <w:rPr>
          <w:sz w:val="24"/>
          <w:szCs w:val="24"/>
        </w:rPr>
      </w:pPr>
      <w:r>
        <w:rPr>
          <w:rFonts w:eastAsia="Verdana"/>
          <w:sz w:val="24"/>
          <w:szCs w:val="24"/>
        </w:rPr>
        <w:t>Gabriela de Souza Tenório;</w:t>
      </w:r>
    </w:p>
    <w:p>
      <w:pPr>
        <w:pStyle w:val="Normal"/>
        <w:spacing w:lineRule="auto" w:line="360"/>
        <w:rPr>
          <w:sz w:val="24"/>
          <w:szCs w:val="24"/>
        </w:rPr>
      </w:pPr>
      <w:r>
        <w:rPr>
          <w:rFonts w:eastAsia="Verdana" w:cs="Times New Roman"/>
          <w:color w:val="auto"/>
          <w:kern w:val="0"/>
          <w:sz w:val="24"/>
          <w:szCs w:val="24"/>
          <w:lang w:val="pt-BR" w:eastAsia="en-US" w:bidi="ar-SA"/>
        </w:rPr>
        <w:t>Pedro de Almeida Grilo</w:t>
      </w:r>
      <w:r>
        <w:rPr>
          <w:rFonts w:eastAsia="Verdana"/>
          <w:sz w:val="24"/>
          <w:szCs w:val="24"/>
        </w:rPr>
        <w:t>.</w:t>
      </w:r>
    </w:p>
    <w:p>
      <w:pPr>
        <w:pStyle w:val="Normal"/>
        <w:rPr>
          <w:rFonts w:eastAsia="Verdana"/>
          <w:sz w:val="24"/>
          <w:szCs w:val="24"/>
        </w:rPr>
      </w:pPr>
      <w:r>
        <w:rPr>
          <w:rFonts w:eastAsia="Verdana"/>
          <w:sz w:val="24"/>
          <w:szCs w:val="24"/>
        </w:rPr>
      </w:r>
    </w:p>
    <w:p>
      <w:pPr>
        <w:pStyle w:val="Normal"/>
        <w:spacing w:lineRule="auto" w:line="360"/>
        <w:rPr>
          <w:sz w:val="24"/>
          <w:szCs w:val="24"/>
        </w:rPr>
      </w:pPr>
      <w:r>
        <w:rPr>
          <w:rFonts w:eastAsia="Verdana"/>
          <w:b/>
          <w:bCs/>
          <w:sz w:val="24"/>
          <w:szCs w:val="24"/>
        </w:rPr>
        <w:t xml:space="preserve">Comissão de Ética e Disciplina do CAU/DF - CED-CAU/DF </w:t>
      </w:r>
    </w:p>
    <w:p>
      <w:pPr>
        <w:pStyle w:val="Normal"/>
        <w:spacing w:lineRule="auto" w:line="360"/>
        <w:rPr>
          <w:sz w:val="24"/>
          <w:szCs w:val="24"/>
        </w:rPr>
      </w:pPr>
      <w:r>
        <w:rPr>
          <w:rFonts w:eastAsia="Verdana" w:cs="Times New Roman"/>
          <w:color w:val="auto"/>
          <w:kern w:val="0"/>
          <w:sz w:val="24"/>
          <w:szCs w:val="24"/>
          <w:lang w:val="pt-BR" w:eastAsia="en-US" w:bidi="ar-SA"/>
        </w:rPr>
        <w:t>Antônio Menezes Júnior</w:t>
      </w:r>
      <w:r>
        <w:rPr>
          <w:rFonts w:eastAsia="Verdana"/>
          <w:sz w:val="24"/>
          <w:szCs w:val="24"/>
        </w:rPr>
        <w:t>;</w:t>
      </w:r>
    </w:p>
    <w:p>
      <w:pPr>
        <w:pStyle w:val="Normal"/>
        <w:spacing w:lineRule="auto" w:line="360"/>
        <w:rPr>
          <w:sz w:val="24"/>
          <w:szCs w:val="24"/>
        </w:rPr>
      </w:pPr>
      <w:r>
        <w:rPr>
          <w:rFonts w:eastAsia="Verdana" w:cs="Times New Roman"/>
          <w:color w:val="auto"/>
          <w:kern w:val="0"/>
          <w:sz w:val="24"/>
          <w:szCs w:val="24"/>
          <w:lang w:val="pt-BR" w:eastAsia="en-US" w:bidi="ar-SA"/>
        </w:rPr>
        <w:t>Mônica Andréa Blanco</w:t>
      </w:r>
      <w:r>
        <w:rPr>
          <w:rFonts w:eastAsia="Verdana"/>
          <w:sz w:val="24"/>
          <w:szCs w:val="24"/>
        </w:rPr>
        <w:t>.</w:t>
      </w:r>
    </w:p>
    <w:p>
      <w:pPr>
        <w:pStyle w:val="Normal"/>
        <w:spacing w:lineRule="auto" w:line="360"/>
        <w:rPr>
          <w:rFonts w:eastAsia="Verdana"/>
          <w:b/>
          <w:b/>
          <w:bCs/>
          <w:sz w:val="24"/>
          <w:szCs w:val="24"/>
        </w:rPr>
      </w:pPr>
      <w:r>
        <w:rPr>
          <w:rFonts w:eastAsia="Verdana"/>
          <w:b/>
          <w:bCs/>
          <w:sz w:val="24"/>
          <w:szCs w:val="24"/>
        </w:rPr>
      </w:r>
    </w:p>
    <w:p>
      <w:pPr>
        <w:pStyle w:val="Normal"/>
        <w:spacing w:lineRule="auto" w:line="360"/>
        <w:rPr>
          <w:sz w:val="24"/>
          <w:szCs w:val="24"/>
        </w:rPr>
      </w:pPr>
      <w:r>
        <w:rPr>
          <w:rFonts w:eastAsia="Verdana"/>
          <w:b/>
          <w:bCs/>
          <w:sz w:val="24"/>
          <w:szCs w:val="24"/>
        </w:rPr>
        <w:t xml:space="preserve">Comissão de Exercício Profissional do CAU/DF - CEP-CAU/DF </w:t>
      </w:r>
    </w:p>
    <w:p>
      <w:pPr>
        <w:pStyle w:val="Normal"/>
        <w:spacing w:lineRule="auto" w:line="360"/>
        <w:rPr>
          <w:rFonts w:ascii="Times New Roman" w:hAnsi="Times New Roman" w:eastAsia="Verdana" w:cs="Times New Roman"/>
          <w:color w:val="auto"/>
          <w:kern w:val="0"/>
          <w:sz w:val="24"/>
          <w:szCs w:val="24"/>
          <w:lang w:val="pt-BR" w:eastAsia="en-US" w:bidi="ar-SA"/>
        </w:rPr>
      </w:pPr>
      <w:r>
        <w:rPr>
          <w:rFonts w:eastAsia="Verdana" w:cs="Times New Roman"/>
          <w:color w:val="auto"/>
          <w:kern w:val="0"/>
          <w:sz w:val="24"/>
          <w:szCs w:val="24"/>
          <w:lang w:val="pt-BR" w:eastAsia="en-US" w:bidi="ar-SA"/>
        </w:rPr>
        <w:t>Rogério Markiewicz;</w:t>
      </w:r>
    </w:p>
    <w:p>
      <w:pPr>
        <w:pStyle w:val="Normal"/>
        <w:spacing w:lineRule="auto" w:line="360"/>
        <w:rPr>
          <w:rFonts w:ascii="Times New Roman" w:hAnsi="Times New Roman" w:eastAsia="Verdana" w:cs="Times New Roman"/>
          <w:color w:val="auto"/>
          <w:kern w:val="0"/>
          <w:sz w:val="24"/>
          <w:szCs w:val="24"/>
          <w:lang w:val="pt-BR" w:eastAsia="en-US" w:bidi="ar-SA"/>
        </w:rPr>
      </w:pPr>
      <w:r>
        <w:rPr>
          <w:rFonts w:eastAsia="Verdana" w:cs="Times New Roman"/>
          <w:color w:val="auto"/>
          <w:kern w:val="0"/>
          <w:sz w:val="24"/>
          <w:szCs w:val="24"/>
          <w:lang w:val="pt-BR" w:eastAsia="en-US" w:bidi="ar-SA"/>
        </w:rPr>
        <w:t>André Bello.</w:t>
      </w:r>
    </w:p>
    <w:p>
      <w:pPr>
        <w:pStyle w:val="Normal"/>
        <w:rPr>
          <w:rFonts w:eastAsia="Verdana"/>
          <w:sz w:val="24"/>
          <w:szCs w:val="24"/>
        </w:rPr>
      </w:pPr>
      <w:r>
        <w:rPr>
          <w:rFonts w:eastAsia="Verdana"/>
          <w:sz w:val="24"/>
          <w:szCs w:val="24"/>
        </w:rPr>
      </w:r>
    </w:p>
    <w:p>
      <w:pPr>
        <w:pStyle w:val="Normal"/>
        <w:spacing w:lineRule="auto" w:line="360"/>
        <w:rPr>
          <w:sz w:val="24"/>
          <w:szCs w:val="24"/>
        </w:rPr>
      </w:pPr>
      <w:r>
        <w:rPr>
          <w:rFonts w:eastAsia="Verdana"/>
          <w:b/>
          <w:bCs/>
          <w:sz w:val="24"/>
          <w:szCs w:val="24"/>
        </w:rPr>
        <w:t xml:space="preserve">Comissão de Administração, Planejamento e Finanças - CAF-CAU/DF </w:t>
      </w:r>
    </w:p>
    <w:p>
      <w:pPr>
        <w:pStyle w:val="Normal"/>
        <w:spacing w:lineRule="auto" w:line="360"/>
        <w:rPr>
          <w:rFonts w:ascii="Times New Roman" w:hAnsi="Times New Roman" w:eastAsia="Verdana" w:cs="Times New Roman"/>
          <w:color w:val="auto"/>
          <w:kern w:val="0"/>
          <w:sz w:val="24"/>
          <w:szCs w:val="24"/>
          <w:lang w:val="pt-BR" w:eastAsia="en-US" w:bidi="ar-SA"/>
        </w:rPr>
      </w:pPr>
      <w:r>
        <w:rPr>
          <w:rFonts w:eastAsia="Verdana" w:cs="Times New Roman"/>
          <w:color w:val="auto"/>
          <w:kern w:val="0"/>
          <w:sz w:val="24"/>
          <w:szCs w:val="24"/>
          <w:lang w:val="pt-BR" w:eastAsia="en-US" w:bidi="ar-SA"/>
        </w:rPr>
        <w:t>João Gilberto de Carvalho Accioly;</w:t>
      </w:r>
    </w:p>
    <w:p>
      <w:pPr>
        <w:pStyle w:val="Normal"/>
        <w:spacing w:lineRule="auto" w:line="360"/>
        <w:rPr>
          <w:rFonts w:ascii="Times New Roman" w:hAnsi="Times New Roman" w:eastAsia="Verdana" w:cs="Times New Roman"/>
          <w:color w:val="auto"/>
          <w:kern w:val="0"/>
          <w:sz w:val="24"/>
          <w:szCs w:val="24"/>
          <w:lang w:val="pt-BR" w:eastAsia="en-US" w:bidi="ar-SA"/>
        </w:rPr>
      </w:pPr>
      <w:r>
        <w:rPr>
          <w:rFonts w:eastAsia="Verdana" w:cs="Times New Roman"/>
          <w:color w:val="auto"/>
          <w:kern w:val="0"/>
          <w:sz w:val="24"/>
          <w:szCs w:val="24"/>
          <w:lang w:val="pt-BR" w:eastAsia="en-US" w:bidi="ar-SA"/>
        </w:rPr>
        <w:t>Gabriela de Souza Tenorio.</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3 – Encaminhar esta deliberação para publicação no sítio eletrônico do CAU/DF.</w:t>
      </w:r>
    </w:p>
    <w:p>
      <w:pPr>
        <w:pStyle w:val="Normal"/>
        <w:rPr>
          <w:rFonts w:eastAsia="Verdana"/>
        </w:rPr>
      </w:pPr>
      <w:r>
        <w:rPr>
          <w:sz w:val="24"/>
          <w:szCs w:val="24"/>
        </w:rPr>
      </w:r>
    </w:p>
    <w:p>
      <w:pPr>
        <w:pStyle w:val="Normal"/>
        <w:rPr>
          <w:rFonts w:eastAsia="Verdana"/>
        </w:rPr>
      </w:pPr>
      <w:r>
        <w:rPr>
          <w:sz w:val="24"/>
          <w:szCs w:val="24"/>
        </w:rPr>
      </w:r>
    </w:p>
    <w:p>
      <w:pPr>
        <w:pStyle w:val="Normal"/>
        <w:rPr>
          <w:sz w:val="22"/>
          <w:szCs w:val="22"/>
        </w:rPr>
      </w:pPr>
      <w:r>
        <w:rPr>
          <w:rFonts w:eastAsia="Verdana"/>
          <w:sz w:val="24"/>
          <w:szCs w:val="24"/>
        </w:rPr>
        <w:t>Esta deliberação entra em vigor nesta data.</w:t>
      </w:r>
    </w:p>
    <w:p>
      <w:pPr>
        <w:pStyle w:val="Normal"/>
        <w:rPr>
          <w:sz w:val="24"/>
          <w:szCs w:val="24"/>
          <w:lang w:eastAsia="pt-BR"/>
        </w:rPr>
      </w:pPr>
      <w:r>
        <w:rPr>
          <w:sz w:val="24"/>
          <w:szCs w:val="24"/>
          <w:lang w:eastAsia="pt-BR"/>
        </w:rPr>
      </w:r>
    </w:p>
    <w:p>
      <w:pPr>
        <w:pStyle w:val="Normal"/>
        <w:rPr>
          <w:sz w:val="24"/>
          <w:szCs w:val="24"/>
        </w:rPr>
      </w:pPr>
      <w:r>
        <w:rPr>
          <w:sz w:val="24"/>
          <w:szCs w:val="24"/>
          <w:lang w:eastAsia="pt-BR"/>
        </w:rPr>
        <w:t xml:space="preserve">Com </w:t>
      </w:r>
      <w:r>
        <w:rPr>
          <w:rFonts w:eastAsia="Calibri" w:cs="Times New Roman"/>
          <w:b/>
          <w:color w:val="auto"/>
          <w:kern w:val="0"/>
          <w:sz w:val="24"/>
          <w:szCs w:val="24"/>
          <w:lang w:val="pt-BR" w:eastAsia="pt-BR" w:bidi="ar-SA"/>
        </w:rPr>
        <w:t>10</w:t>
      </w:r>
      <w:r>
        <w:rPr>
          <w:b/>
          <w:bCs/>
          <w:sz w:val="24"/>
          <w:szCs w:val="24"/>
          <w:lang w:eastAsia="pt-BR"/>
        </w:rPr>
        <w:t xml:space="preserve"> votos favoráveis</w:t>
      </w:r>
      <w:r>
        <w:rPr>
          <w:sz w:val="24"/>
          <w:szCs w:val="24"/>
          <w:lang w:eastAsia="pt-BR"/>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b/>
          <w:sz w:val="24"/>
          <w:szCs w:val="24"/>
          <w:lang w:eastAsia="pt-BR"/>
        </w:rPr>
        <w:t>00</w:t>
      </w:r>
      <w:r>
        <w:rPr>
          <w:sz w:val="24"/>
          <w:szCs w:val="24"/>
          <w:lang w:eastAsia="pt-BR"/>
        </w:rPr>
        <w:t xml:space="preserve"> ausência; </w:t>
      </w:r>
      <w:r>
        <w:rPr>
          <w:b/>
          <w:sz w:val="24"/>
          <w:szCs w:val="24"/>
          <w:lang w:eastAsia="pt-BR"/>
        </w:rPr>
        <w:t>00</w:t>
      </w:r>
      <w:r>
        <w:rPr>
          <w:sz w:val="24"/>
          <w:szCs w:val="24"/>
          <w:lang w:eastAsia="pt-BR"/>
        </w:rPr>
        <w:t xml:space="preserve"> voto contrário e </w:t>
      </w:r>
      <w:r>
        <w:rPr>
          <w:b/>
          <w:sz w:val="24"/>
          <w:szCs w:val="24"/>
          <w:lang w:eastAsia="pt-BR"/>
        </w:rPr>
        <w:t>00</w:t>
      </w:r>
      <w:r>
        <w:rPr>
          <w:sz w:val="24"/>
          <w:szCs w:val="24"/>
          <w:lang w:eastAsia="pt-BR"/>
        </w:rPr>
        <w:t xml:space="preserve"> abstenção.</w:t>
      </w:r>
    </w:p>
    <w:p>
      <w:pPr>
        <w:pStyle w:val="Normal"/>
        <w:ind w:left="-142" w:hanging="0"/>
        <w:jc w:val="center"/>
        <w:rPr>
          <w:rFonts w:eastAsia="Verdana"/>
          <w:sz w:val="24"/>
          <w:szCs w:val="24"/>
        </w:rPr>
      </w:pPr>
      <w:r>
        <w:rPr>
          <w:rFonts w:eastAsia="Verdana"/>
          <w:sz w:val="24"/>
          <w:szCs w:val="24"/>
        </w:rPr>
      </w:r>
    </w:p>
    <w:p>
      <w:pPr>
        <w:pStyle w:val="Normal"/>
        <w:ind w:left="-142" w:hanging="0"/>
        <w:jc w:val="center"/>
        <w:rPr>
          <w:rFonts w:eastAsia="Verdana"/>
        </w:rPr>
      </w:pPr>
      <w:r>
        <w:rPr>
          <w:sz w:val="24"/>
          <w:szCs w:val="24"/>
        </w:rPr>
      </w:r>
    </w:p>
    <w:p>
      <w:pPr>
        <w:pStyle w:val="Normal"/>
        <w:ind w:left="-142" w:hanging="0"/>
        <w:jc w:val="center"/>
        <w:rPr>
          <w:sz w:val="22"/>
          <w:szCs w:val="22"/>
        </w:rPr>
      </w:pPr>
      <w:r>
        <w:rPr>
          <w:rFonts w:eastAsia="Verdana"/>
          <w:sz w:val="24"/>
          <w:szCs w:val="24"/>
        </w:rPr>
        <w:t xml:space="preserve">Brasília - DF, </w:t>
      </w:r>
      <w:r>
        <w:rPr>
          <w:rFonts w:eastAsia="Verdana" w:cs="Times New Roman"/>
          <w:color w:val="auto"/>
          <w:kern w:val="0"/>
          <w:sz w:val="24"/>
          <w:szCs w:val="24"/>
          <w:lang w:val="pt-BR" w:eastAsia="en-US" w:bidi="ar-SA"/>
        </w:rPr>
        <w:t>2</w:t>
      </w:r>
      <w:r>
        <w:rPr>
          <w:rFonts w:eastAsia="Verdana"/>
          <w:sz w:val="24"/>
          <w:szCs w:val="24"/>
        </w:rPr>
        <w:t>7 de abril de 2020.</w:t>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ind w:left="-142" w:hanging="0"/>
        <w:jc w:val="center"/>
        <w:rPr>
          <w:rFonts w:eastAsia="Verdana"/>
          <w:b/>
          <w:b/>
        </w:rPr>
      </w:pPr>
      <w:r>
        <w:rPr>
          <w:rFonts w:eastAsia="Verdana"/>
          <w:b/>
          <w:sz w:val="24"/>
          <w:szCs w:val="24"/>
        </w:rPr>
        <w:t xml:space="preserve">Daniel Mangabeira da Vinha </w:t>
      </w:r>
    </w:p>
    <w:p>
      <w:pPr>
        <w:pStyle w:val="Normal"/>
        <w:ind w:left="-142" w:hanging="0"/>
        <w:jc w:val="center"/>
        <w:rPr>
          <w:sz w:val="24"/>
          <w:szCs w:val="24"/>
        </w:rPr>
      </w:pPr>
      <w:r>
        <w:rPr>
          <w:rFonts w:eastAsia="Verdana"/>
          <w:sz w:val="24"/>
          <w:szCs w:val="24"/>
        </w:rPr>
        <w:t>Presidente do CAU/DF</w:t>
      </w:r>
    </w:p>
    <w:sectPr>
      <w:headerReference w:type="default" r:id="rId2"/>
      <w:footerReference w:type="default" r:id="rId3"/>
      <w:type w:val="nextPage"/>
      <w:pgSz w:w="11906" w:h="16838"/>
      <w:pgMar w:left="1701" w:right="1134" w:header="284" w:top="1701" w:footer="22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1701" w:right="-851" w:hanging="0"/>
      <w:jc w:val="center"/>
      <w:rPr/>
    </w:pPr>
    <w:r>
      <mc:AlternateContent>
        <mc:Choice Requires="wps">
          <w:drawing>
            <wp:anchor behindDoc="1" distT="0" distB="0" distL="0" distR="0" simplePos="0" locked="0" layoutInCell="1" allowOverlap="1" relativeHeight="3" wp14:anchorId="233D3F2A">
              <wp:simplePos x="0" y="0"/>
              <wp:positionH relativeFrom="margin">
                <wp:posOffset>-635</wp:posOffset>
              </wp:positionH>
              <wp:positionV relativeFrom="paragraph">
                <wp:posOffset>3810</wp:posOffset>
              </wp:positionV>
              <wp:extent cx="5740400" cy="15875"/>
              <wp:effectExtent l="0" t="0" r="19050" b="28575"/>
              <wp:wrapNone/>
              <wp:docPr id="1" name="Conector reto 3"/>
              <a:graphic xmlns:a="http://schemas.openxmlformats.org/drawingml/2006/main">
                <a:graphicData uri="http://schemas.microsoft.com/office/word/2010/wordprocessingShape">
                  <wps:wsp>
                    <wps:cNvSpPr/>
                    <wps:spPr>
                      <a:xfrm flipV="1">
                        <a:off x="0" y="0"/>
                        <a:ext cx="5739840" cy="9360"/>
                      </a:xfrm>
                      <a:prstGeom prst="line">
                        <a:avLst/>
                      </a:prstGeom>
                      <a:ln w="19080">
                        <a:solidFill>
                          <a:srgbClr val="1c3942"/>
                        </a:solidFill>
                        <a:round/>
                      </a:ln>
                    </wps:spPr>
                    <wps:style>
                      <a:lnRef idx="0"/>
                      <a:fillRef idx="0"/>
                      <a:effectRef idx="0"/>
                      <a:fontRef idx="minor"/>
                    </wps:style>
                    <wps:bodyPr/>
                  </wps:wsp>
                </a:graphicData>
              </a:graphic>
            </wp:anchor>
          </w:drawing>
        </mc:Choice>
        <mc:Fallback>
          <w:pict>
            <v:line id="shape_0" from="-0.1pt,-0.05pt" to="451.8pt,0.65pt" ID="Conector reto 3" stroked="t" style="position:absolute;flip:y;mso-position-horizontal-relative:margin" wp14:anchorId="233D3F2A">
              <v:stroke color="#1c3942" weight="19080" joinstyle="round" endcap="flat"/>
              <v:fill o:detectmouseclick="t" on="false"/>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sz w:val="16"/>
        <w:szCs w:val="16"/>
        <w:rFonts w:ascii="DaxCondensed-Regular" w:hAnsi="DaxCondensed-Regular"/>
      </w:rPr>
      <w:instrText> PAGE </w:instrText>
    </w:r>
    <w:r>
      <w:rPr>
        <w:sz w:val="16"/>
        <w:szCs w:val="16"/>
        <w:rFonts w:ascii="DaxCondensed-Regular" w:hAnsi="DaxCondensed-Regular"/>
      </w:rPr>
      <w:fldChar w:fldCharType="separate"/>
    </w:r>
    <w:r>
      <w:rPr>
        <w:sz w:val="16"/>
        <w:szCs w:val="16"/>
        <w:rFonts w:ascii="DaxCondensed-Regular" w:hAnsi="DaxCondensed-Regular"/>
      </w:rPr>
      <w:t>2</w:t>
    </w:r>
    <w:r>
      <w:rPr>
        <w:sz w:val="16"/>
        <w:szCs w:val="16"/>
        <w:rFonts w:ascii="DaxCondensed-Regular" w:hAnsi="DaxCondensed-Regular"/>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sz w:val="16"/>
        <w:szCs w:val="16"/>
        <w:rFonts w:ascii="DaxCondensed-Regular" w:hAnsi="DaxCondensed-Regular"/>
      </w:rPr>
      <w:instrText> NUMPAGES </w:instrText>
    </w:r>
    <w:r>
      <w:rPr>
        <w:sz w:val="16"/>
        <w:szCs w:val="16"/>
        <w:rFonts w:ascii="DaxCondensed-Regular" w:hAnsi="DaxCondensed-Regular"/>
      </w:rPr>
      <w:fldChar w:fldCharType="separate"/>
    </w:r>
    <w:r>
      <w:rPr>
        <w:sz w:val="16"/>
        <w:szCs w:val="16"/>
        <w:rFonts w:ascii="DaxCondensed-Regular" w:hAnsi="DaxCondensed-Regular"/>
      </w:rPr>
      <w:t>2</w:t>
    </w:r>
    <w:r>
      <w:rPr>
        <w:sz w:val="16"/>
        <w:szCs w:val="16"/>
        <w:rFonts w:ascii="DaxCondensed-Regular" w:hAnsi="DaxCondensed-Regular"/>
      </w:rPr>
      <w:fldChar w:fldCharType="end"/>
    </w:r>
  </w:p>
  <w:p>
    <w:pPr>
      <w:pStyle w:val="Normal"/>
      <w:ind w:left="-1701" w:right="-851" w:hanging="0"/>
      <w:jc w:val="center"/>
      <w:rPr>
        <w:rFonts w:ascii="DaxCondensed-Regular" w:hAnsi="DaxCondensed-Regular"/>
        <w:color w:val="1C3942"/>
        <w:sz w:val="8"/>
        <w:szCs w:val="8"/>
      </w:rPr>
    </w:pPr>
    <w:r>
      <w:rPr>
        <w:rFonts w:ascii="DaxCondensed-Regular" w:hAnsi="DaxCondensed-Regular"/>
        <w:color w:val="1C3942"/>
        <w:sz w:val="8"/>
        <w:szCs w:val="8"/>
      </w:rPr>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 xml:space="preserve">SEPS 705/905, Bloco “A”, Salas 401 a 406, Centro Empresarial Santa Cruz - CEP 70.390-055 - Brasília (DF) </w:t>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left="-1701" w:right="-851" w:hanging="0"/>
      <w:jc w:val="left"/>
      <w:rPr/>
    </w:pPr>
    <w:r>
      <w:rPr/>
    </w:r>
  </w:p>
  <w:p>
    <w:pPr>
      <w:pStyle w:val="Rodap"/>
      <w:ind w:right="-851" w:hanging="0"/>
      <w:jc w:val="left"/>
      <w:rPr/>
    </w:pPr>
    <w:r>
      <w:rPr/>
    </w:r>
  </w:p>
  <w:p>
    <w:pPr>
      <w:pStyle w:val="Rodap"/>
      <w:ind w:right="-851" w:hanging="0"/>
      <w:jc w:val="left"/>
      <w:rPr>
        <w:rFonts w:ascii="Arial" w:hAnsi="Arial"/>
        <w:color w:val="1C3942"/>
        <w:sz w:val="22"/>
      </w:rPr>
    </w:pPr>
    <w:r>
      <w:rPr/>
      <w:object>
        <v:shape id="ole_rId1" style="width:453.3pt;height:42.55pt" o:ole="">
          <v:imagedata r:id="rId2" o:title=""/>
        </v:shape>
        <o:OLEObject Type="Embed" ProgID="CorelDraw.Graphic.16" ShapeID="ole_rId1" DrawAspect="Content" ObjectID="_784732803" r:id="rId1"/>
      </w:object>
    </w:r>
  </w:p>
</w:hdr>
</file>

<file path=word/settings.xml><?xml version="1.0" encoding="utf-8"?>
<w:settings xmlns:w="http://schemas.openxmlformats.org/wordprocessingml/2006/main">
  <w:zoom w:percent="12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7adf"/>
    <w:pPr>
      <w:widowControl/>
      <w:bidi w:val="0"/>
      <w:jc w:val="both"/>
    </w:pPr>
    <w:rPr>
      <w:rFonts w:ascii="Times New Roman" w:hAnsi="Times New Roman" w:eastAsia="Calibri" w:cs="Times New Roman"/>
      <w:color w:val="auto"/>
      <w:kern w:val="0"/>
      <w:sz w:val="24"/>
      <w:szCs w:val="24"/>
      <w:lang w:val="pt-BR" w:eastAsia="en-US" w:bidi="ar-SA"/>
    </w:rPr>
  </w:style>
  <w:style w:type="paragraph" w:styleId="Ttulo1">
    <w:name w:val="Heading 1"/>
    <w:basedOn w:val="Normal"/>
    <w:next w:val="Normal"/>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
    <w:next w:val="Normal"/>
    <w:link w:val="Ttulo2Char"/>
    <w:qFormat/>
    <w:rsid w:val="00727adf"/>
    <w:pPr>
      <w:keepNext w:val="true"/>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
    <w:next w:val="Normal"/>
    <w:link w:val="Ttulo4Char"/>
    <w:uiPriority w:val="9"/>
    <w:unhideWhenUsed/>
    <w:qFormat/>
    <w:rsid w:val="00d714e1"/>
    <w:pPr>
      <w:keepNext w:val="true"/>
      <w:jc w:val="center"/>
      <w:outlineLvl w:val="3"/>
    </w:pPr>
    <w:rPr>
      <w:b/>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nhideWhenUsed/>
    <w:rsid w:val="00727adf"/>
    <w:pPr>
      <w:tabs>
        <w:tab w:val="clear" w:pos="708"/>
        <w:tab w:val="center" w:pos="4320" w:leader="none"/>
        <w:tab w:val="right" w:pos="8640" w:leader="none"/>
      </w:tabs>
    </w:pPr>
    <w:rPr/>
  </w:style>
  <w:style w:type="paragraph" w:styleId="Rodap">
    <w:name w:val="Footer"/>
    <w:basedOn w:val="Normal"/>
    <w:link w:val="RodapChar"/>
    <w:uiPriority w:val="99"/>
    <w:unhideWhenUsed/>
    <w:rsid w:val="00727adf"/>
    <w:pPr>
      <w:tabs>
        <w:tab w:val="clear" w:pos="708"/>
        <w:tab w:val="center" w:pos="4320" w:leader="none"/>
        <w:tab w:val="right" w:pos="8640" w:leader="none"/>
      </w:tabs>
    </w:pPr>
    <w:rPr/>
  </w:style>
  <w:style w:type="paragraph" w:styleId="ListParagraph">
    <w:name w:val="List Paragraph"/>
    <w:basedOn w:val="Normal"/>
    <w:uiPriority w:val="34"/>
    <w:qFormat/>
    <w:rsid w:val="00727adf"/>
    <w:pPr>
      <w:spacing w:before="0" w:after="0"/>
      <w:ind w:left="720" w:hanging="0"/>
      <w:contextualSpacing/>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qFormat/>
    <w:rsid w:val="00b00899"/>
    <w:pPr/>
    <w:rPr>
      <w:sz w:val="28"/>
      <w:szCs w:val="28"/>
    </w:rPr>
  </w:style>
  <w:style w:type="paragraph" w:styleId="BalloonText">
    <w:name w:val="Balloon Text"/>
    <w:basedOn w:val="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
    <w:link w:val="Recuodecorpodetexto2Char"/>
    <w:uiPriority w:val="99"/>
    <w:unhideWhenUsed/>
    <w:qFormat/>
    <w:rsid w:val="00fd05a6"/>
    <w:pPr>
      <w:ind w:left="3686" w:hanging="0"/>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
    <w:link w:val="parag2Char"/>
    <w:qFormat/>
    <w:rsid w:val="00a22ca8"/>
    <w:pPr>
      <w:spacing w:beforeAutospacing="1" w:afterAutospacing="1"/>
      <w:jc w:val="left"/>
    </w:pPr>
    <w:rPr>
      <w:rFonts w:eastAsia="Times New Roman"/>
      <w:lang w:eastAsia="pt-BR"/>
    </w:rPr>
  </w:style>
  <w:style w:type="paragraph" w:styleId="Ttulododocumento">
    <w:name w:val="Title"/>
    <w:basedOn w:val="Normal"/>
    <w:next w:val="Normal"/>
    <w:link w:val="TtuloChar"/>
    <w:uiPriority w:val="10"/>
    <w:qFormat/>
    <w:rsid w:val="00ab01db"/>
    <w:pPr>
      <w:jc w:val="center"/>
    </w:pPr>
    <w:rPr>
      <w:rFonts w:eastAsia="Times New Roman"/>
      <w:b/>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08"/>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left"/>
    </w:pPr>
    <w:rPr>
      <w:rFonts w:ascii="Arial" w:hAnsi="Arial" w:eastAsia="Times New Roman" w:cs="Arial"/>
      <w:color w:val="auto"/>
      <w:kern w:val="0"/>
      <w:sz w:val="24"/>
      <w:szCs w:val="24"/>
      <w:lang w:val="pt-BR" w:eastAsia="zh-C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00BD-CCF1-43D6-9312-4A74AC0A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Application>LibreOffice/6.3.3.2$Windows_X86_64 LibreOffice_project/a64200df03143b798afd1ec74a12ab50359878ed</Application>
  <Pages>2</Pages>
  <Words>340</Words>
  <Characters>2003</Characters>
  <CharactersWithSpaces>2319</CharactersWithSpaces>
  <Paragraphs>36</Paragraphs>
  <Company>CAU/DF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dc:description/>
  <dc:language>pt-BR</dc:language>
  <cp:lastModifiedBy/>
  <cp:lastPrinted>2020-02-21T14:12:00Z</cp:lastPrinted>
  <dcterms:modified xsi:type="dcterms:W3CDTF">2020-04-28T09:38:25Z</dcterms:modified>
  <cp:revision>50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