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embeddings/oleObject1.bin" ContentType="application/vnd.openxmlformats-officedocument.oleObject"/>
  <Override PartName="/word/media/image1.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9180" w:type="dxa"/>
        <w:jc w:val="left"/>
        <w:tblInd w:w="0" w:type="dxa"/>
        <w:tblCellMar>
          <w:top w:w="0" w:type="dxa"/>
          <w:left w:w="108" w:type="dxa"/>
          <w:bottom w:w="0" w:type="dxa"/>
          <w:right w:w="108" w:type="dxa"/>
        </w:tblCellMar>
        <w:tblLook w:firstRow="1" w:noVBand="1" w:lastRow="0" w:firstColumn="1" w:lastColumn="0" w:noHBand="0" w:val="04a0"/>
      </w:tblPr>
      <w:tblGrid>
        <w:gridCol w:w="2234"/>
        <w:gridCol w:w="6945"/>
      </w:tblGrid>
      <w:tr>
        <w:trPr/>
        <w:tc>
          <w:tcPr>
            <w:tcW w:w="2234" w:type="dxa"/>
            <w:tcBorders>
              <w:top w:val="single" w:sz="4" w:space="0" w:color="000000"/>
              <w:bottom w:val="single" w:sz="4" w:space="0" w:color="000000"/>
              <w:right w:val="single" w:sz="4" w:space="0" w:color="000000"/>
            </w:tcBorders>
            <w:shd w:color="auto" w:fill="F2F2F2" w:val="clear"/>
            <w:vAlign w:val="center"/>
          </w:tcPr>
          <w:p>
            <w:pPr>
              <w:pStyle w:val="Ttulo2"/>
              <w:rPr>
                <w:b w:val="false"/>
                <w:b w:val="false"/>
                <w:szCs w:val="24"/>
              </w:rPr>
            </w:pPr>
            <w:r>
              <w:rPr>
                <w:b w:val="false"/>
                <w:szCs w:val="24"/>
              </w:rPr>
              <w:t>PROCESSO</w:t>
            </w:r>
          </w:p>
        </w:tc>
        <w:tc>
          <w:tcPr>
            <w:tcW w:w="6945" w:type="dxa"/>
            <w:tcBorders>
              <w:top w:val="single" w:sz="4" w:space="0" w:color="000000"/>
              <w:left w:val="single" w:sz="4" w:space="0" w:color="000000"/>
              <w:bottom w:val="single" w:sz="4" w:space="0" w:color="000000"/>
            </w:tcBorders>
            <w:shd w:fill="auto" w:val="clear"/>
          </w:tcPr>
          <w:p>
            <w:pPr>
              <w:pStyle w:val="Cabealho"/>
              <w:tabs>
                <w:tab w:val="clear" w:pos="4320"/>
                <w:tab w:val="clear" w:pos="8640"/>
                <w:tab w:val="left" w:pos="2780" w:leader="none"/>
              </w:tabs>
              <w:spacing w:lineRule="atLeast" w:line="240"/>
              <w:ind w:right="113" w:hanging="0"/>
              <w:rPr>
                <w:rFonts w:ascii="Times New Roman" w:hAnsi="Times New Roman"/>
                <w:b w:val="false"/>
                <w:b w:val="false"/>
                <w:bCs w:val="false"/>
                <w:i w:val="false"/>
                <w:i w:val="false"/>
                <w:caps w:val="false"/>
                <w:smallCaps w:val="false"/>
                <w:color w:val="000000"/>
                <w:spacing w:val="0"/>
                <w:sz w:val="24"/>
                <w:szCs w:val="24"/>
              </w:rPr>
            </w:pPr>
            <w:r>
              <w:rPr>
                <w:b w:val="false"/>
                <w:bCs w:val="false"/>
                <w:i w:val="false"/>
                <w:caps w:val="false"/>
                <w:smallCaps w:val="false"/>
                <w:color w:val="000000"/>
                <w:spacing w:val="0"/>
                <w:sz w:val="24"/>
                <w:szCs w:val="24"/>
              </w:rPr>
            </w:r>
          </w:p>
        </w:tc>
      </w:tr>
      <w:tr>
        <w:trPr/>
        <w:tc>
          <w:tcPr>
            <w:tcW w:w="2234" w:type="dxa"/>
            <w:tcBorders>
              <w:top w:val="single" w:sz="4" w:space="0" w:color="000000"/>
              <w:bottom w:val="single" w:sz="4" w:space="0" w:color="000000"/>
              <w:right w:val="single" w:sz="4" w:space="0" w:color="000000"/>
            </w:tcBorders>
            <w:shd w:color="auto" w:fill="F2F2F2" w:val="clear"/>
            <w:vAlign w:val="center"/>
          </w:tcPr>
          <w:p>
            <w:pPr>
              <w:pStyle w:val="Cabealho"/>
              <w:spacing w:lineRule="atLeast" w:line="240"/>
              <w:rPr>
                <w:b/>
                <w:b/>
              </w:rPr>
            </w:pPr>
            <w:r>
              <w:rPr/>
              <w:t>INTERRESSADO</w:t>
            </w:r>
          </w:p>
        </w:tc>
        <w:tc>
          <w:tcPr>
            <w:tcW w:w="6945" w:type="dxa"/>
            <w:tcBorders>
              <w:top w:val="single" w:sz="4" w:space="0" w:color="000000"/>
              <w:left w:val="single" w:sz="4" w:space="0" w:color="000000"/>
              <w:bottom w:val="single" w:sz="4" w:space="0" w:color="000000"/>
            </w:tcBorders>
            <w:shd w:fill="auto" w:val="clear"/>
            <w:vAlign w:val="center"/>
          </w:tcPr>
          <w:p>
            <w:pPr>
              <w:pStyle w:val="Cabealho"/>
              <w:spacing w:lineRule="atLeast" w:line="240"/>
              <w:rPr>
                <w:rFonts w:eastAsia="Times New Roman"/>
                <w:bCs/>
                <w:lang w:eastAsia="pt-BR"/>
              </w:rPr>
            </w:pPr>
            <w:r>
              <w:rPr>
                <w:rFonts w:eastAsia="Times New Roman"/>
                <w:bCs/>
                <w:lang w:eastAsia="pt-BR"/>
              </w:rPr>
              <w:t>CAU/DF</w:t>
            </w:r>
          </w:p>
        </w:tc>
      </w:tr>
      <w:tr>
        <w:trPr>
          <w:trHeight w:val="94" w:hRule="atLeast"/>
        </w:trPr>
        <w:tc>
          <w:tcPr>
            <w:tcW w:w="2234" w:type="dxa"/>
            <w:tcBorders>
              <w:top w:val="single" w:sz="4" w:space="0" w:color="000000"/>
              <w:bottom w:val="single" w:sz="4" w:space="0" w:color="000000"/>
              <w:right w:val="single" w:sz="4" w:space="0" w:color="000000"/>
            </w:tcBorders>
            <w:shd w:color="auto" w:fill="F2F2F2" w:val="clear"/>
            <w:vAlign w:val="center"/>
          </w:tcPr>
          <w:p>
            <w:pPr>
              <w:pStyle w:val="Cabealho"/>
              <w:spacing w:lineRule="atLeast" w:line="240"/>
              <w:rPr>
                <w:rFonts w:ascii="Times New Roman" w:hAnsi="Times New Roman" w:cs="Times New Roman"/>
                <w:color w:val="222124"/>
                <w:highlight w:val="white"/>
                <w:lang w:eastAsia="en-US"/>
              </w:rPr>
            </w:pPr>
            <w:r>
              <w:rPr/>
              <w:t>ASSUNTO</w:t>
            </w:r>
          </w:p>
        </w:tc>
        <w:tc>
          <w:tcPr>
            <w:tcW w:w="6945" w:type="dxa"/>
            <w:tcBorders>
              <w:top w:val="single" w:sz="4" w:space="0" w:color="000000"/>
              <w:left w:val="single" w:sz="4" w:space="0" w:color="000000"/>
              <w:bottom w:val="single" w:sz="4" w:space="0" w:color="000000"/>
            </w:tcBorders>
            <w:shd w:fill="auto" w:val="clear"/>
            <w:vAlign w:val="center"/>
          </w:tcPr>
          <w:p>
            <w:pPr>
              <w:pStyle w:val="Normal"/>
              <w:shd w:val="clear" w:color="auto" w:fill="FFFFFF"/>
              <w:spacing w:lineRule="exact" w:line="244" w:before="4" w:after="0"/>
              <w:jc w:val="both"/>
              <w:rPr>
                <w:rFonts w:ascii="Times New Roman" w:hAnsi="Times New Roman" w:eastAsia="Calibri" w:cs="Times New Roman"/>
                <w:color w:val="auto"/>
                <w:kern w:val="0"/>
                <w:sz w:val="24"/>
                <w:szCs w:val="24"/>
                <w:lang w:val="pt-BR" w:eastAsia="en-US" w:bidi="ar-SA"/>
              </w:rPr>
            </w:pPr>
            <w:r>
              <w:rPr>
                <w:rFonts w:eastAsia="Calibri" w:cs="Times New Roman"/>
                <w:color w:val="auto"/>
                <w:kern w:val="0"/>
                <w:sz w:val="24"/>
                <w:szCs w:val="24"/>
                <w:lang w:val="pt-BR" w:eastAsia="en-US" w:bidi="ar-SA"/>
              </w:rPr>
              <w:t>COMISSÃO DE MONITORAMENTO E AVALIAÇÃO DE PATROCÍNIO</w:t>
            </w:r>
          </w:p>
        </w:tc>
      </w:tr>
    </w:tbl>
    <w:p>
      <w:pPr>
        <w:pStyle w:val="Cabealho"/>
        <w:spacing w:lineRule="atLeast" w:line="240"/>
        <w:jc w:val="center"/>
        <w:rPr>
          <w:b/>
          <w:b/>
          <w:sz w:val="22"/>
          <w:szCs w:val="22"/>
        </w:rPr>
      </w:pPr>
      <w:r>
        <w:rPr>
          <w:b/>
          <w:sz w:val="22"/>
          <w:szCs w:val="22"/>
        </w:rPr>
      </w:r>
    </w:p>
    <w:tbl>
      <w:tblPr>
        <w:tblW w:w="9180" w:type="dxa"/>
        <w:jc w:val="left"/>
        <w:tblInd w:w="0" w:type="dxa"/>
        <w:tblCellMar>
          <w:top w:w="0" w:type="dxa"/>
          <w:left w:w="108" w:type="dxa"/>
          <w:bottom w:w="0" w:type="dxa"/>
          <w:right w:w="108" w:type="dxa"/>
        </w:tblCellMar>
        <w:tblLook w:firstRow="1" w:noVBand="1" w:lastRow="0" w:firstColumn="1" w:lastColumn="0" w:noHBand="0" w:val="04a0"/>
      </w:tblPr>
      <w:tblGrid>
        <w:gridCol w:w="9180"/>
      </w:tblGrid>
      <w:tr>
        <w:trPr/>
        <w:tc>
          <w:tcPr>
            <w:tcW w:w="9180" w:type="dxa"/>
            <w:tcBorders>
              <w:top w:val="single" w:sz="4" w:space="0" w:color="000000"/>
              <w:bottom w:val="single" w:sz="4" w:space="0" w:color="000000"/>
            </w:tcBorders>
            <w:shd w:color="auto" w:fill="F2F2F2" w:val="clear"/>
          </w:tcPr>
          <w:p>
            <w:pPr>
              <w:pStyle w:val="Cabealho"/>
              <w:spacing w:lineRule="atLeast" w:line="240"/>
              <w:jc w:val="center"/>
              <w:rPr>
                <w:sz w:val="22"/>
                <w:szCs w:val="22"/>
              </w:rPr>
            </w:pPr>
            <w:r>
              <w:rPr>
                <w:b/>
                <w:sz w:val="22"/>
                <w:szCs w:val="22"/>
              </w:rPr>
              <w:t>DELIBERAÇÃO PLENÁRIA DPODF Nº 03</w:t>
            </w:r>
            <w:r>
              <w:rPr>
                <w:rFonts w:eastAsia="Calibri" w:cs="Times New Roman"/>
                <w:b/>
                <w:color w:val="auto"/>
                <w:kern w:val="0"/>
                <w:sz w:val="22"/>
                <w:szCs w:val="22"/>
                <w:lang w:val="pt-BR" w:eastAsia="en-US" w:bidi="ar-SA"/>
              </w:rPr>
              <w:t>5</w:t>
            </w:r>
            <w:r>
              <w:rPr>
                <w:rFonts w:eastAsia="Calibri" w:cs="Times New Roman"/>
                <w:b/>
                <w:color w:val="auto"/>
                <w:kern w:val="0"/>
                <w:sz w:val="22"/>
                <w:szCs w:val="22"/>
                <w:lang w:val="pt-BR" w:eastAsia="en-US" w:bidi="ar-SA"/>
              </w:rPr>
              <w:t>7</w:t>
            </w:r>
            <w:r>
              <w:rPr>
                <w:rFonts w:eastAsia="Calibri" w:cs="Times New Roman"/>
                <w:b/>
                <w:color w:val="auto"/>
                <w:kern w:val="0"/>
                <w:sz w:val="22"/>
                <w:szCs w:val="22"/>
                <w:lang w:val="pt-BR" w:eastAsia="en-US" w:bidi="ar-SA"/>
              </w:rPr>
              <w:t>/</w:t>
            </w:r>
            <w:r>
              <w:rPr>
                <w:b/>
                <w:sz w:val="22"/>
                <w:szCs w:val="22"/>
              </w:rPr>
              <w:t>2020</w:t>
            </w:r>
          </w:p>
        </w:tc>
      </w:tr>
    </w:tbl>
    <w:p>
      <w:pPr>
        <w:pStyle w:val="Cabealho"/>
        <w:tabs>
          <w:tab w:val="center" w:pos="4320" w:leader="none"/>
          <w:tab w:val="left" w:pos="4962" w:leader="none"/>
          <w:tab w:val="right" w:pos="8640" w:leader="none"/>
        </w:tabs>
        <w:spacing w:lineRule="atLeast" w:line="240"/>
        <w:rPr>
          <w:sz w:val="24"/>
          <w:szCs w:val="24"/>
        </w:rPr>
      </w:pPr>
      <w:r>
        <w:rPr>
          <w:sz w:val="22"/>
          <w:szCs w:val="22"/>
        </w:rPr>
        <w:tab/>
        <w:tab/>
      </w:r>
    </w:p>
    <w:p>
      <w:pPr>
        <w:pStyle w:val="Cabealho"/>
        <w:spacing w:lineRule="atLeast" w:line="240"/>
        <w:ind w:left="5103" w:hanging="0"/>
        <w:rPr>
          <w:sz w:val="22"/>
          <w:szCs w:val="22"/>
        </w:rPr>
      </w:pPr>
      <w:r>
        <w:rPr>
          <w:rFonts w:eastAsia="Verdana" w:cs="Times New Roman"/>
          <w:bCs/>
          <w:color w:val="auto"/>
          <w:kern w:val="0"/>
          <w:sz w:val="22"/>
          <w:szCs w:val="22"/>
          <w:lang w:val="pt-BR" w:eastAsia="en-US" w:bidi="ar-SA"/>
        </w:rPr>
        <w:t>Cria a Comissão de Monitoramento e Avaliação de Chamada Pública de Patrocínio do Conselho de Arquitetura e Urbanismo do Distrito Federal (CAU/DF)</w:t>
      </w:r>
      <w:r>
        <w:rPr>
          <w:rFonts w:eastAsia="Verdana" w:cs="Times New Roman"/>
          <w:bCs/>
          <w:color w:val="auto"/>
          <w:kern w:val="0"/>
          <w:sz w:val="22"/>
          <w:szCs w:val="22"/>
          <w:lang w:val="pt-BR" w:eastAsia="en-US" w:bidi="ar-SA"/>
        </w:rPr>
        <w:t>.</w:t>
      </w:r>
    </w:p>
    <w:p>
      <w:pPr>
        <w:pStyle w:val="Normal"/>
        <w:rPr>
          <w:rFonts w:eastAsia="Verdana"/>
          <w:sz w:val="22"/>
          <w:szCs w:val="22"/>
        </w:rPr>
      </w:pPr>
      <w:r>
        <w:rPr>
          <w:rFonts w:eastAsia="Verdana"/>
          <w:sz w:val="22"/>
          <w:szCs w:val="22"/>
        </w:rPr>
      </w:r>
    </w:p>
    <w:p>
      <w:pPr>
        <w:pStyle w:val="Normal"/>
        <w:rPr>
          <w:rFonts w:eastAsia="Verdana"/>
        </w:rPr>
      </w:pPr>
      <w:r>
        <w:rPr>
          <w:sz w:val="22"/>
          <w:szCs w:val="22"/>
        </w:rPr>
      </w:r>
    </w:p>
    <w:p>
      <w:pPr>
        <w:pStyle w:val="Normal"/>
        <w:rPr>
          <w:sz w:val="24"/>
          <w:szCs w:val="24"/>
        </w:rPr>
      </w:pPr>
      <w:r>
        <w:rPr>
          <w:rFonts w:eastAsia="Verdana"/>
          <w:sz w:val="22"/>
          <w:szCs w:val="22"/>
        </w:rPr>
        <w:t xml:space="preserve">O PLENÁRIO DO CONSELHO DE ARQUITETURA E URBANISMO DO DISTRITO FEDERAL - CAU/DF, no uso das competências que lhe confere a seção II, art. 29, do Regimento Interno do CAU/DF, e reunido ordinariamente </w:t>
      </w:r>
      <w:r>
        <w:rPr>
          <w:rFonts w:eastAsia="Verdana" w:cs="Times New Roman"/>
          <w:color w:val="auto"/>
          <w:kern w:val="0"/>
          <w:sz w:val="22"/>
          <w:szCs w:val="22"/>
          <w:lang w:val="pt-BR" w:eastAsia="en-US" w:bidi="ar-SA"/>
        </w:rPr>
        <w:t>por meio de videoconferência</w:t>
      </w:r>
      <w:r>
        <w:rPr>
          <w:rFonts w:eastAsia="Verdana"/>
          <w:sz w:val="22"/>
          <w:szCs w:val="22"/>
        </w:rPr>
        <w:t xml:space="preserve">, no dia </w:t>
      </w:r>
      <w:r>
        <w:rPr>
          <w:rFonts w:eastAsia="Verdana" w:cs="Times New Roman"/>
          <w:color w:val="auto"/>
          <w:kern w:val="0"/>
          <w:sz w:val="22"/>
          <w:szCs w:val="22"/>
          <w:lang w:val="pt-BR" w:eastAsia="en-US" w:bidi="ar-SA"/>
        </w:rPr>
        <w:t>2</w:t>
      </w:r>
      <w:r>
        <w:rPr>
          <w:rFonts w:eastAsia="Verdana"/>
          <w:sz w:val="22"/>
          <w:szCs w:val="22"/>
        </w:rPr>
        <w:t xml:space="preserve">7 de </w:t>
      </w:r>
      <w:r>
        <w:rPr>
          <w:rFonts w:eastAsia="Verdana" w:cs="Times New Roman"/>
          <w:color w:val="auto"/>
          <w:kern w:val="0"/>
          <w:sz w:val="22"/>
          <w:szCs w:val="22"/>
          <w:lang w:val="pt-BR" w:eastAsia="en-US" w:bidi="ar-SA"/>
        </w:rPr>
        <w:t>abril</w:t>
      </w:r>
      <w:r>
        <w:rPr>
          <w:rFonts w:eastAsia="Verdana"/>
          <w:sz w:val="22"/>
          <w:szCs w:val="22"/>
        </w:rPr>
        <w:t xml:space="preserve"> de 2020, após análise do assunto em epígrafe, e</w:t>
      </w:r>
    </w:p>
    <w:p>
      <w:pPr>
        <w:pStyle w:val="Normal"/>
        <w:rPr>
          <w:rFonts w:eastAsia="Verdana"/>
          <w:sz w:val="22"/>
          <w:szCs w:val="22"/>
        </w:rPr>
      </w:pPr>
      <w:r>
        <w:rPr>
          <w:rFonts w:eastAsia="Verdana"/>
          <w:sz w:val="22"/>
          <w:szCs w:val="22"/>
        </w:rPr>
      </w:r>
    </w:p>
    <w:p>
      <w:pPr>
        <w:pStyle w:val="Normal"/>
        <w:rPr>
          <w:sz w:val="22"/>
          <w:szCs w:val="22"/>
        </w:rPr>
      </w:pPr>
      <w:r>
        <w:rPr>
          <w:rFonts w:eastAsia="Verdana"/>
          <w:sz w:val="22"/>
          <w:szCs w:val="22"/>
        </w:rPr>
        <w:t xml:space="preserve">Considerando Portaria Normativa n.º 03/2019 do CAU/DF, que </w:t>
      </w:r>
      <w:r>
        <w:rPr>
          <w:rFonts w:eastAsia="Arial Unicode MS"/>
          <w:sz w:val="22"/>
          <w:szCs w:val="22"/>
          <w:lang w:eastAsia="pt-BR"/>
        </w:rPr>
        <w:t>regulamenta a concessão de apoio institucional, caracteriza as modalidades de apoio institucional e patrocínio; e</w:t>
      </w:r>
    </w:p>
    <w:p>
      <w:pPr>
        <w:pStyle w:val="Normal"/>
        <w:rPr>
          <w:rFonts w:eastAsia="Verdana"/>
          <w:sz w:val="22"/>
          <w:szCs w:val="22"/>
        </w:rPr>
      </w:pPr>
      <w:r>
        <w:rPr>
          <w:rFonts w:eastAsia="Verdana"/>
          <w:sz w:val="22"/>
          <w:szCs w:val="22"/>
        </w:rPr>
      </w:r>
    </w:p>
    <w:p>
      <w:pPr>
        <w:pStyle w:val="Normal"/>
        <w:ind w:right="113" w:hanging="0"/>
        <w:rPr>
          <w:sz w:val="22"/>
          <w:szCs w:val="22"/>
        </w:rPr>
      </w:pPr>
      <w:r>
        <w:rPr>
          <w:rFonts w:eastAsia="Verdana"/>
          <w:bCs/>
          <w:sz w:val="22"/>
          <w:szCs w:val="22"/>
          <w:lang w:val="pt"/>
        </w:rPr>
        <w:t>Considerando artigo 29, inciso</w:t>
      </w:r>
      <w:r>
        <w:rPr>
          <w:rFonts w:eastAsia="Verdana"/>
          <w:bCs/>
          <w:color w:val="000000"/>
          <w:sz w:val="22"/>
          <w:szCs w:val="22"/>
          <w:lang w:val="pt"/>
        </w:rPr>
        <w:t xml:space="preserve"> </w:t>
      </w:r>
      <w:r>
        <w:rPr>
          <w:rFonts w:eastAsia="Verdana"/>
          <w:bCs/>
          <w:color w:val="000000" w:themeColor="text1"/>
          <w:sz w:val="22"/>
          <w:szCs w:val="22"/>
          <w:lang w:val="pt"/>
        </w:rPr>
        <w:t>XVIII</w:t>
      </w:r>
      <w:r>
        <w:rPr>
          <w:rFonts w:eastAsia="Verdana"/>
          <w:bCs/>
          <w:color w:val="000000"/>
          <w:sz w:val="22"/>
          <w:szCs w:val="22"/>
          <w:lang w:val="pt"/>
        </w:rPr>
        <w:t xml:space="preserve">, do </w:t>
      </w:r>
      <w:r>
        <w:rPr>
          <w:rFonts w:eastAsia="Verdana"/>
          <w:bCs/>
          <w:sz w:val="22"/>
          <w:szCs w:val="22"/>
          <w:lang w:val="pt"/>
        </w:rPr>
        <w:t>Regimento Interno do CAU/DF, que dispõe como competência do Plenário do CAU/DF: “</w:t>
      </w:r>
      <w:r>
        <w:rPr>
          <w:rFonts w:eastAsia="Verdana"/>
          <w:bCs/>
          <w:color w:val="000000" w:themeColor="text1"/>
          <w:sz w:val="22"/>
          <w:szCs w:val="22"/>
          <w:lang w:val="pt"/>
        </w:rPr>
        <w:t>apreciar e deliberar sobre a composição de comissões ordinárias, temporárias e demais órgãos colegiados</w:t>
      </w:r>
      <w:r>
        <w:rPr>
          <w:rFonts w:eastAsia="Verdana"/>
          <w:bCs/>
          <w:color w:val="000000"/>
          <w:sz w:val="22"/>
          <w:szCs w:val="22"/>
          <w:lang w:val="pt"/>
        </w:rPr>
        <w:t>”.</w:t>
      </w:r>
    </w:p>
    <w:p>
      <w:pPr>
        <w:pStyle w:val="Normal"/>
        <w:rPr>
          <w:b/>
          <w:b/>
          <w:sz w:val="22"/>
          <w:szCs w:val="22"/>
        </w:rPr>
      </w:pPr>
      <w:r>
        <w:rPr>
          <w:b/>
          <w:sz w:val="22"/>
          <w:szCs w:val="22"/>
        </w:rPr>
      </w:r>
    </w:p>
    <w:p>
      <w:pPr>
        <w:pStyle w:val="Normal"/>
        <w:rPr>
          <w:b/>
          <w:b/>
          <w:sz w:val="22"/>
          <w:szCs w:val="22"/>
        </w:rPr>
      </w:pPr>
      <w:r>
        <w:rPr>
          <w:b/>
          <w:sz w:val="22"/>
          <w:szCs w:val="22"/>
        </w:rPr>
      </w:r>
    </w:p>
    <w:p>
      <w:pPr>
        <w:pStyle w:val="Normal"/>
        <w:rPr>
          <w:sz w:val="22"/>
          <w:szCs w:val="22"/>
        </w:rPr>
      </w:pPr>
      <w:r>
        <w:rPr>
          <w:b/>
          <w:sz w:val="22"/>
          <w:szCs w:val="22"/>
        </w:rPr>
        <w:t>DELIBEROU:</w:t>
      </w:r>
    </w:p>
    <w:p>
      <w:pPr>
        <w:pStyle w:val="Normal"/>
        <w:rPr>
          <w:sz w:val="22"/>
          <w:szCs w:val="22"/>
        </w:rPr>
      </w:pPr>
      <w:r>
        <w:rPr>
          <w:sz w:val="22"/>
          <w:szCs w:val="22"/>
        </w:rPr>
      </w:r>
    </w:p>
    <w:p>
      <w:pPr>
        <w:pStyle w:val="Normal"/>
        <w:rPr>
          <w:sz w:val="22"/>
          <w:szCs w:val="22"/>
        </w:rPr>
      </w:pPr>
      <w:r>
        <w:rPr>
          <w:sz w:val="22"/>
          <w:szCs w:val="22"/>
          <w:lang w:val="pt"/>
        </w:rPr>
        <w:t xml:space="preserve">1 – Por </w:t>
      </w:r>
      <w:r>
        <w:rPr>
          <w:rFonts w:eastAsia="Verdana"/>
          <w:bCs/>
          <w:sz w:val="22"/>
          <w:szCs w:val="22"/>
        </w:rPr>
        <w:t>aprovar a criação da Comissão de Monitoramento e Avaliação, com a seguinte composição</w:t>
      </w:r>
      <w:r>
        <w:rPr>
          <w:sz w:val="22"/>
          <w:szCs w:val="22"/>
          <w:lang w:val="pt"/>
        </w:rPr>
        <w:t>:</w:t>
      </w:r>
    </w:p>
    <w:p>
      <w:pPr>
        <w:pStyle w:val="ListParagraph"/>
        <w:numPr>
          <w:ilvl w:val="0"/>
          <w:numId w:val="1"/>
        </w:numPr>
        <w:spacing w:before="0" w:after="0"/>
        <w:ind w:left="1208" w:hanging="357"/>
        <w:rPr>
          <w:sz w:val="22"/>
          <w:szCs w:val="22"/>
        </w:rPr>
      </w:pPr>
      <w:r>
        <w:rPr>
          <w:sz w:val="22"/>
          <w:szCs w:val="22"/>
        </w:rPr>
        <w:t xml:space="preserve">Conselheiros do CAU/DF: Antônio Menezes Júnior e </w:t>
      </w:r>
      <w:r>
        <w:rPr>
          <w:rFonts w:eastAsia="Calibri" w:cs="Times New Roman"/>
          <w:color w:val="auto"/>
          <w:kern w:val="0"/>
          <w:sz w:val="22"/>
          <w:szCs w:val="22"/>
          <w:lang w:val="pt-BR" w:eastAsia="en-US" w:bidi="ar-SA"/>
        </w:rPr>
        <w:t>João Eduardo Martins Dantas</w:t>
      </w:r>
      <w:r>
        <w:rPr>
          <w:sz w:val="22"/>
          <w:szCs w:val="22"/>
        </w:rPr>
        <w:t>;</w:t>
      </w:r>
      <w:bookmarkStart w:id="0" w:name="_Hlk3816585"/>
      <w:bookmarkEnd w:id="0"/>
    </w:p>
    <w:p>
      <w:pPr>
        <w:pStyle w:val="ListParagraph"/>
        <w:numPr>
          <w:ilvl w:val="0"/>
          <w:numId w:val="1"/>
        </w:numPr>
        <w:spacing w:before="0" w:after="0"/>
        <w:ind w:left="1208" w:hanging="357"/>
        <w:rPr>
          <w:sz w:val="22"/>
          <w:szCs w:val="22"/>
        </w:rPr>
      </w:pPr>
      <w:r>
        <w:rPr>
          <w:sz w:val="22"/>
          <w:szCs w:val="22"/>
        </w:rPr>
        <w:t>Empregado efetivo do CAU/DF: Flávia Fernandes Queiroz;</w:t>
      </w:r>
    </w:p>
    <w:p>
      <w:pPr>
        <w:pStyle w:val="Normal"/>
        <w:rPr>
          <w:sz w:val="22"/>
          <w:szCs w:val="22"/>
        </w:rPr>
      </w:pPr>
      <w:r>
        <w:rPr>
          <w:sz w:val="22"/>
          <w:szCs w:val="22"/>
        </w:rPr>
      </w:r>
    </w:p>
    <w:p>
      <w:pPr>
        <w:pStyle w:val="Cabealho"/>
        <w:spacing w:lineRule="atLeast" w:line="240"/>
        <w:rPr>
          <w:sz w:val="22"/>
          <w:szCs w:val="22"/>
        </w:rPr>
      </w:pPr>
      <w:r>
        <w:rPr>
          <w:sz w:val="22"/>
          <w:szCs w:val="22"/>
        </w:rPr>
        <w:t xml:space="preserve">2 – </w:t>
      </w:r>
      <w:r>
        <w:rPr>
          <w:sz w:val="22"/>
          <w:szCs w:val="22"/>
          <w:lang w:eastAsia="pt-BR"/>
        </w:rPr>
        <w:t xml:space="preserve">A Comissão de </w:t>
      </w:r>
      <w:r>
        <w:rPr>
          <w:rFonts w:eastAsia="Verdana"/>
          <w:bCs/>
          <w:sz w:val="22"/>
          <w:szCs w:val="22"/>
        </w:rPr>
        <w:t>Monitoramento e Avaliação</w:t>
      </w:r>
      <w:r>
        <w:rPr>
          <w:rFonts w:eastAsia="Times New Roman"/>
          <w:sz w:val="22"/>
          <w:szCs w:val="22"/>
          <w:lang w:eastAsia="pt-BR"/>
        </w:rPr>
        <w:t xml:space="preserve"> será constituída pelo período de 6 (seis) meses, podendo ser prorrogada por igual período, a contar a partir do dia </w:t>
      </w:r>
      <w:r>
        <w:rPr>
          <w:rFonts w:eastAsia="Times New Roman" w:cs="Times New Roman"/>
          <w:color w:val="auto"/>
          <w:kern w:val="0"/>
          <w:sz w:val="22"/>
          <w:szCs w:val="22"/>
          <w:lang w:val="pt-BR" w:eastAsia="pt-BR" w:bidi="ar-SA"/>
        </w:rPr>
        <w:t>30</w:t>
      </w:r>
      <w:r>
        <w:rPr>
          <w:rFonts w:eastAsia="Times New Roman"/>
          <w:sz w:val="22"/>
          <w:szCs w:val="22"/>
          <w:lang w:eastAsia="pt-BR"/>
        </w:rPr>
        <w:t xml:space="preserve"> de </w:t>
      </w:r>
      <w:r>
        <w:rPr>
          <w:rFonts w:eastAsia="Times New Roman" w:cs="Times New Roman"/>
          <w:color w:val="auto"/>
          <w:kern w:val="0"/>
          <w:sz w:val="22"/>
          <w:szCs w:val="22"/>
          <w:lang w:val="pt-BR" w:eastAsia="pt-BR" w:bidi="ar-SA"/>
        </w:rPr>
        <w:t>maio</w:t>
      </w:r>
      <w:r>
        <w:rPr>
          <w:rFonts w:eastAsia="Times New Roman"/>
          <w:sz w:val="22"/>
          <w:szCs w:val="22"/>
          <w:lang w:eastAsia="pt-BR"/>
        </w:rPr>
        <w:t xml:space="preserve"> de 20</w:t>
      </w:r>
      <w:r>
        <w:rPr>
          <w:rFonts w:eastAsia="Times New Roman" w:cs="Times New Roman"/>
          <w:color w:val="auto"/>
          <w:kern w:val="0"/>
          <w:sz w:val="22"/>
          <w:szCs w:val="22"/>
          <w:lang w:val="pt-BR" w:eastAsia="pt-BR" w:bidi="ar-SA"/>
        </w:rPr>
        <w:t>20</w:t>
      </w:r>
      <w:r>
        <w:rPr>
          <w:rFonts w:eastAsia="Times New Roman"/>
          <w:sz w:val="22"/>
          <w:szCs w:val="22"/>
          <w:lang w:eastAsia="pt-BR"/>
        </w:rPr>
        <w:t>;</w:t>
      </w:r>
    </w:p>
    <w:p>
      <w:pPr>
        <w:pStyle w:val="Cabealho"/>
        <w:spacing w:lineRule="atLeast" w:line="240"/>
        <w:rPr>
          <w:sz w:val="22"/>
          <w:szCs w:val="22"/>
        </w:rPr>
      </w:pPr>
      <w:r>
        <w:rPr>
          <w:sz w:val="22"/>
          <w:szCs w:val="22"/>
        </w:rPr>
      </w:r>
    </w:p>
    <w:p>
      <w:pPr>
        <w:pStyle w:val="Cabealho"/>
        <w:spacing w:lineRule="atLeast" w:line="240"/>
        <w:rPr>
          <w:sz w:val="22"/>
          <w:szCs w:val="22"/>
        </w:rPr>
      </w:pPr>
      <w:r>
        <w:rPr>
          <w:rFonts w:eastAsia="Verdana" w:cs="Times New Roman"/>
          <w:bCs/>
          <w:color w:val="auto"/>
          <w:kern w:val="0"/>
          <w:sz w:val="22"/>
          <w:szCs w:val="22"/>
          <w:lang w:val="pt-BR" w:eastAsia="en-US" w:bidi="ar-SA"/>
        </w:rPr>
        <w:t>3 – Encaminhar esta deliberação para publicação no sítio eletrônico do CAU/DF.</w:t>
      </w:r>
    </w:p>
    <w:p>
      <w:pPr>
        <w:pStyle w:val="Normal"/>
        <w:rPr>
          <w:rFonts w:eastAsia="Verdana"/>
          <w:sz w:val="22"/>
          <w:szCs w:val="22"/>
        </w:rPr>
      </w:pPr>
      <w:r>
        <w:rPr>
          <w:rFonts w:eastAsia="Verdana"/>
          <w:sz w:val="22"/>
          <w:szCs w:val="22"/>
        </w:rPr>
      </w:r>
    </w:p>
    <w:p>
      <w:pPr>
        <w:pStyle w:val="Normal"/>
        <w:rPr>
          <w:rFonts w:eastAsia="Verdana"/>
          <w:sz w:val="22"/>
          <w:szCs w:val="22"/>
        </w:rPr>
      </w:pPr>
      <w:r>
        <w:rPr>
          <w:rFonts w:eastAsia="Verdana"/>
          <w:sz w:val="22"/>
          <w:szCs w:val="22"/>
        </w:rPr>
      </w:r>
    </w:p>
    <w:p>
      <w:pPr>
        <w:pStyle w:val="Normal"/>
        <w:rPr>
          <w:sz w:val="22"/>
          <w:szCs w:val="22"/>
        </w:rPr>
      </w:pPr>
      <w:r>
        <w:rPr>
          <w:rFonts w:eastAsia="Verdana"/>
          <w:sz w:val="22"/>
          <w:szCs w:val="22"/>
        </w:rPr>
        <w:t>Esta deliberação entra em vigor nesta data.</w:t>
      </w:r>
    </w:p>
    <w:p>
      <w:pPr>
        <w:pStyle w:val="Normal"/>
        <w:rPr>
          <w:sz w:val="22"/>
          <w:szCs w:val="22"/>
          <w:lang w:eastAsia="pt-BR"/>
        </w:rPr>
      </w:pPr>
      <w:r>
        <w:rPr>
          <w:sz w:val="22"/>
          <w:szCs w:val="22"/>
          <w:lang w:eastAsia="pt-BR"/>
        </w:rPr>
      </w:r>
    </w:p>
    <w:p>
      <w:pPr>
        <w:pStyle w:val="Normal"/>
        <w:rPr>
          <w:sz w:val="24"/>
          <w:szCs w:val="24"/>
        </w:rPr>
      </w:pPr>
      <w:r>
        <w:rPr>
          <w:sz w:val="22"/>
          <w:szCs w:val="22"/>
          <w:lang w:eastAsia="pt-BR"/>
        </w:rPr>
        <w:t xml:space="preserve">Com </w:t>
      </w:r>
      <w:r>
        <w:rPr>
          <w:rFonts w:eastAsia="Calibri" w:cs="Times New Roman"/>
          <w:b/>
          <w:color w:val="auto"/>
          <w:kern w:val="0"/>
          <w:sz w:val="22"/>
          <w:szCs w:val="22"/>
          <w:lang w:val="pt-BR" w:eastAsia="pt-BR" w:bidi="ar-SA"/>
        </w:rPr>
        <w:t>10</w:t>
      </w:r>
      <w:r>
        <w:rPr>
          <w:b/>
          <w:bCs/>
          <w:sz w:val="22"/>
          <w:szCs w:val="22"/>
          <w:lang w:eastAsia="pt-BR"/>
        </w:rPr>
        <w:t xml:space="preserve"> votos favoráveis</w:t>
      </w:r>
      <w:r>
        <w:rPr>
          <w:sz w:val="22"/>
          <w:szCs w:val="22"/>
          <w:lang w:eastAsia="pt-BR"/>
        </w:rPr>
        <w:t xml:space="preserve"> dos conselheiros: André Bello, Antônio Menezes Júnior, Daniel Marcos Szwec dos Santos Fernandes, Gabriela de Souza Tenorio, Giselle Moll Mascarenhas, João Gilberto de Carvalho Accioly, Letícia Miguel Teixeira, Mônica Andréa Blanco, Pedro de Almeida Grilo e Rogério Markiewicz; </w:t>
      </w:r>
      <w:r>
        <w:rPr>
          <w:b/>
          <w:sz w:val="22"/>
          <w:szCs w:val="22"/>
          <w:lang w:eastAsia="pt-BR"/>
        </w:rPr>
        <w:t>00</w:t>
      </w:r>
      <w:r>
        <w:rPr>
          <w:sz w:val="22"/>
          <w:szCs w:val="22"/>
          <w:lang w:eastAsia="pt-BR"/>
        </w:rPr>
        <w:t xml:space="preserve"> ausência; </w:t>
      </w:r>
      <w:r>
        <w:rPr>
          <w:b/>
          <w:sz w:val="22"/>
          <w:szCs w:val="22"/>
          <w:lang w:eastAsia="pt-BR"/>
        </w:rPr>
        <w:t>00</w:t>
      </w:r>
      <w:r>
        <w:rPr>
          <w:sz w:val="22"/>
          <w:szCs w:val="22"/>
          <w:lang w:eastAsia="pt-BR"/>
        </w:rPr>
        <w:t xml:space="preserve"> voto contrário e </w:t>
      </w:r>
      <w:r>
        <w:rPr>
          <w:b/>
          <w:sz w:val="22"/>
          <w:szCs w:val="22"/>
          <w:lang w:eastAsia="pt-BR"/>
        </w:rPr>
        <w:t>00</w:t>
      </w:r>
      <w:r>
        <w:rPr>
          <w:sz w:val="22"/>
          <w:szCs w:val="22"/>
          <w:lang w:eastAsia="pt-BR"/>
        </w:rPr>
        <w:t xml:space="preserve"> abstenção.</w:t>
      </w:r>
    </w:p>
    <w:p>
      <w:pPr>
        <w:pStyle w:val="Normal"/>
        <w:ind w:left="-142" w:hanging="0"/>
        <w:jc w:val="center"/>
        <w:rPr>
          <w:rFonts w:eastAsia="Verdana"/>
          <w:sz w:val="22"/>
          <w:szCs w:val="22"/>
        </w:rPr>
      </w:pPr>
      <w:r>
        <w:rPr>
          <w:rFonts w:eastAsia="Verdana"/>
          <w:sz w:val="22"/>
          <w:szCs w:val="22"/>
        </w:rPr>
      </w:r>
    </w:p>
    <w:p>
      <w:pPr>
        <w:pStyle w:val="Normal"/>
        <w:ind w:left="-142" w:hanging="0"/>
        <w:jc w:val="center"/>
        <w:rPr>
          <w:rFonts w:eastAsia="Verdana"/>
          <w:sz w:val="22"/>
          <w:szCs w:val="22"/>
        </w:rPr>
      </w:pPr>
      <w:r>
        <w:rPr>
          <w:rFonts w:eastAsia="Verdana"/>
          <w:sz w:val="22"/>
          <w:szCs w:val="22"/>
        </w:rPr>
      </w:r>
    </w:p>
    <w:p>
      <w:pPr>
        <w:pStyle w:val="Normal"/>
        <w:ind w:left="-142" w:hanging="0"/>
        <w:jc w:val="center"/>
        <w:rPr>
          <w:sz w:val="22"/>
          <w:szCs w:val="22"/>
        </w:rPr>
      </w:pPr>
      <w:r>
        <w:rPr>
          <w:rFonts w:eastAsia="Verdana"/>
          <w:sz w:val="22"/>
          <w:szCs w:val="22"/>
        </w:rPr>
        <w:t xml:space="preserve">Brasília - DF, </w:t>
      </w:r>
      <w:r>
        <w:rPr>
          <w:rFonts w:eastAsia="Verdana" w:cs="Times New Roman"/>
          <w:color w:val="auto"/>
          <w:kern w:val="0"/>
          <w:sz w:val="22"/>
          <w:szCs w:val="22"/>
          <w:lang w:val="pt-BR" w:eastAsia="en-US" w:bidi="ar-SA"/>
        </w:rPr>
        <w:t>2</w:t>
      </w:r>
      <w:r>
        <w:rPr>
          <w:rFonts w:eastAsia="Verdana"/>
          <w:sz w:val="22"/>
          <w:szCs w:val="22"/>
        </w:rPr>
        <w:t>7 de abril de 2020.</w:t>
      </w:r>
    </w:p>
    <w:p>
      <w:pPr>
        <w:pStyle w:val="Normal"/>
        <w:rPr>
          <w:rFonts w:eastAsia="Verdana"/>
          <w:sz w:val="22"/>
          <w:szCs w:val="22"/>
        </w:rPr>
      </w:pPr>
      <w:r>
        <w:rPr>
          <w:rFonts w:eastAsia="Verdana"/>
          <w:sz w:val="22"/>
          <w:szCs w:val="22"/>
        </w:rPr>
      </w:r>
    </w:p>
    <w:p>
      <w:pPr>
        <w:pStyle w:val="Normal"/>
        <w:rPr>
          <w:rFonts w:eastAsia="Verdana"/>
          <w:sz w:val="22"/>
          <w:szCs w:val="22"/>
        </w:rPr>
      </w:pPr>
      <w:r>
        <w:rPr>
          <w:rFonts w:eastAsia="Verdana"/>
          <w:sz w:val="22"/>
          <w:szCs w:val="22"/>
        </w:rPr>
      </w:r>
    </w:p>
    <w:p>
      <w:pPr>
        <w:pStyle w:val="Normal"/>
        <w:rPr>
          <w:rFonts w:eastAsia="Verdana"/>
          <w:sz w:val="22"/>
          <w:szCs w:val="22"/>
        </w:rPr>
      </w:pPr>
      <w:r>
        <w:rPr>
          <w:rFonts w:eastAsia="Verdana"/>
          <w:sz w:val="22"/>
          <w:szCs w:val="22"/>
        </w:rPr>
      </w:r>
    </w:p>
    <w:p>
      <w:pPr>
        <w:pStyle w:val="Normal"/>
        <w:rPr>
          <w:rFonts w:eastAsia="Verdana"/>
          <w:sz w:val="22"/>
          <w:szCs w:val="22"/>
        </w:rPr>
      </w:pPr>
      <w:r>
        <w:rPr>
          <w:rFonts w:eastAsia="Verdana"/>
          <w:sz w:val="22"/>
          <w:szCs w:val="22"/>
        </w:rPr>
      </w:r>
    </w:p>
    <w:p>
      <w:pPr>
        <w:pStyle w:val="Normal"/>
        <w:rPr>
          <w:rFonts w:eastAsia="Verdana"/>
          <w:sz w:val="22"/>
          <w:szCs w:val="22"/>
        </w:rPr>
      </w:pPr>
      <w:r>
        <w:rPr>
          <w:rFonts w:eastAsia="Verdana"/>
          <w:sz w:val="22"/>
          <w:szCs w:val="22"/>
        </w:rPr>
      </w:r>
    </w:p>
    <w:p>
      <w:pPr>
        <w:pStyle w:val="Normal"/>
        <w:ind w:left="-142" w:hanging="0"/>
        <w:jc w:val="center"/>
        <w:rPr>
          <w:rFonts w:eastAsia="Verdana"/>
          <w:b/>
          <w:b/>
        </w:rPr>
      </w:pPr>
      <w:r>
        <w:rPr>
          <w:rFonts w:eastAsia="Verdana"/>
          <w:b/>
          <w:sz w:val="22"/>
          <w:szCs w:val="22"/>
        </w:rPr>
        <w:t xml:space="preserve">Daniel Mangabeira da Vinha </w:t>
      </w:r>
    </w:p>
    <w:p>
      <w:pPr>
        <w:pStyle w:val="Normal"/>
        <w:ind w:left="-142" w:hanging="0"/>
        <w:jc w:val="center"/>
        <w:rPr>
          <w:sz w:val="22"/>
          <w:szCs w:val="22"/>
        </w:rPr>
      </w:pPr>
      <w:r>
        <w:rPr>
          <w:rFonts w:eastAsia="Verdana"/>
          <w:sz w:val="22"/>
          <w:szCs w:val="22"/>
        </w:rPr>
        <w:t>Presidente do CAU/DF</w:t>
      </w:r>
    </w:p>
    <w:sectPr>
      <w:headerReference w:type="default" r:id="rId2"/>
      <w:footerReference w:type="default" r:id="rId3"/>
      <w:type w:val="nextPage"/>
      <w:pgSz w:w="11906" w:h="16838"/>
      <w:pgMar w:left="1701" w:right="1134" w:header="284" w:top="1701" w:footer="227"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Light">
    <w:charset w:val="00"/>
    <w:family w:val="roman"/>
    <w:pitch w:val="variable"/>
  </w:font>
  <w:font w:name="Cambria">
    <w:charset w:val="00"/>
    <w:family w:val="roman"/>
    <w:pitch w:val="variable"/>
  </w:font>
  <w:font w:name="Tahoma">
    <w:charset w:val="00"/>
    <w:family w:val="roman"/>
    <w:pitch w:val="variable"/>
  </w:font>
  <w:font w:name="Calibri">
    <w:charset w:val="00"/>
    <w:family w:val="roman"/>
    <w:pitch w:val="variable"/>
  </w:font>
  <w:font w:name="Liberation Sans">
    <w:altName w:val="Arial"/>
    <w:charset w:val="00"/>
    <w:family w:val="roman"/>
    <w:pitch w:val="variable"/>
  </w:font>
  <w:font w:name="Arial">
    <w:charset w:val="00"/>
    <w:family w:val="roman"/>
    <w:pitch w:val="variable"/>
  </w:font>
  <w:font w:name="DaxCondensed-Regular">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left="-1701" w:right="-851" w:hanging="0"/>
      <w:jc w:val="center"/>
      <w:rPr/>
    </w:pPr>
    <w:r>
      <mc:AlternateContent>
        <mc:Choice Requires="wps">
          <w:drawing>
            <wp:anchor behindDoc="1" distT="0" distB="0" distL="0" distR="0" simplePos="0" locked="0" layoutInCell="1" allowOverlap="1" relativeHeight="2" wp14:anchorId="233D3F2A">
              <wp:simplePos x="0" y="0"/>
              <wp:positionH relativeFrom="margin">
                <wp:posOffset>0</wp:posOffset>
              </wp:positionH>
              <wp:positionV relativeFrom="paragraph">
                <wp:posOffset>12065</wp:posOffset>
              </wp:positionV>
              <wp:extent cx="5741035" cy="16510"/>
              <wp:effectExtent l="0" t="0" r="19050" b="28575"/>
              <wp:wrapNone/>
              <wp:docPr id="1" name="Conector reto 3"/>
              <a:graphic xmlns:a="http://schemas.openxmlformats.org/drawingml/2006/main">
                <a:graphicData uri="http://schemas.microsoft.com/office/word/2010/wordprocessingShape">
                  <wps:wsp>
                    <wps:cNvSpPr/>
                    <wps:spPr>
                      <a:xfrm flipV="1">
                        <a:off x="0" y="0"/>
                        <a:ext cx="5740560" cy="8280"/>
                      </a:xfrm>
                      <a:prstGeom prst="line">
                        <a:avLst/>
                      </a:prstGeom>
                      <a:ln w="19080">
                        <a:solidFill>
                          <a:srgbClr val="1c3942"/>
                        </a:solidFill>
                        <a:round/>
                      </a:ln>
                    </wps:spPr>
                    <wps:style>
                      <a:lnRef idx="0"/>
                      <a:fillRef idx="0"/>
                      <a:effectRef idx="0"/>
                      <a:fontRef idx="minor"/>
                    </wps:style>
                    <wps:bodyPr/>
                  </wps:wsp>
                </a:graphicData>
              </a:graphic>
            </wp:anchor>
          </w:drawing>
        </mc:Choice>
        <mc:Fallback>
          <w:pict>
            <v:line id="shape_0" from="0pt,0.6pt" to="451.95pt,1.2pt" ID="Conector reto 3" stroked="t" style="position:absolute;flip:y;mso-position-horizontal-relative:margin" wp14:anchorId="233D3F2A">
              <v:stroke color="#1c3942" weight="19080" joinstyle="round" endcap="flat"/>
              <v:fill o:detectmouseclick="t" on="false"/>
            </v:line>
          </w:pict>
        </mc:Fallback>
      </mc:AlternateContent>
    </w:r>
    <w:r>
      <w:rPr>
        <w:rFonts w:ascii="DaxCondensed-Regular" w:hAnsi="DaxCondensed-Regular"/>
        <w:color w:val="1C3942"/>
        <w:sz w:val="16"/>
        <w:szCs w:val="16"/>
      </w:rPr>
      <w:t xml:space="preserve">Página </w:t>
    </w:r>
    <w:r>
      <w:rPr>
        <w:rFonts w:ascii="DaxCondensed-Regular" w:hAnsi="DaxCondensed-Regular"/>
        <w:sz w:val="16"/>
        <w:szCs w:val="16"/>
      </w:rPr>
      <w:fldChar w:fldCharType="begin"/>
    </w:r>
    <w:r>
      <w:rPr>
        <w:sz w:val="16"/>
        <w:szCs w:val="16"/>
        <w:rFonts w:ascii="DaxCondensed-Regular" w:hAnsi="DaxCondensed-Regular"/>
      </w:rPr>
      <w:instrText> PAGE </w:instrText>
    </w:r>
    <w:r>
      <w:rPr>
        <w:sz w:val="16"/>
        <w:szCs w:val="16"/>
        <w:rFonts w:ascii="DaxCondensed-Regular" w:hAnsi="DaxCondensed-Regular"/>
      </w:rPr>
      <w:fldChar w:fldCharType="separate"/>
    </w:r>
    <w:r>
      <w:rPr>
        <w:sz w:val="16"/>
        <w:szCs w:val="16"/>
        <w:rFonts w:ascii="DaxCondensed-Regular" w:hAnsi="DaxCondensed-Regular"/>
      </w:rPr>
      <w:t>1</w:t>
    </w:r>
    <w:r>
      <w:rPr>
        <w:sz w:val="16"/>
        <w:szCs w:val="16"/>
        <w:rFonts w:ascii="DaxCondensed-Regular" w:hAnsi="DaxCondensed-Regular"/>
      </w:rPr>
      <w:fldChar w:fldCharType="end"/>
    </w:r>
    <w:r>
      <w:rPr>
        <w:rFonts w:ascii="DaxCondensed-Regular" w:hAnsi="DaxCondensed-Regular"/>
        <w:color w:val="1C3942"/>
        <w:sz w:val="16"/>
        <w:szCs w:val="16"/>
      </w:rPr>
      <w:t xml:space="preserve"> de </w:t>
    </w:r>
    <w:r>
      <w:rPr>
        <w:rFonts w:ascii="DaxCondensed-Regular" w:hAnsi="DaxCondensed-Regular"/>
        <w:sz w:val="16"/>
        <w:szCs w:val="16"/>
      </w:rPr>
      <w:fldChar w:fldCharType="begin"/>
    </w:r>
    <w:r>
      <w:rPr>
        <w:sz w:val="16"/>
        <w:szCs w:val="16"/>
        <w:rFonts w:ascii="DaxCondensed-Regular" w:hAnsi="DaxCondensed-Regular"/>
      </w:rPr>
      <w:instrText> NUMPAGES </w:instrText>
    </w:r>
    <w:r>
      <w:rPr>
        <w:sz w:val="16"/>
        <w:szCs w:val="16"/>
        <w:rFonts w:ascii="DaxCondensed-Regular" w:hAnsi="DaxCondensed-Regular"/>
      </w:rPr>
      <w:fldChar w:fldCharType="separate"/>
    </w:r>
    <w:r>
      <w:rPr>
        <w:sz w:val="16"/>
        <w:szCs w:val="16"/>
        <w:rFonts w:ascii="DaxCondensed-Regular" w:hAnsi="DaxCondensed-Regular"/>
      </w:rPr>
      <w:t>1</w:t>
    </w:r>
    <w:r>
      <w:rPr>
        <w:sz w:val="16"/>
        <w:szCs w:val="16"/>
        <w:rFonts w:ascii="DaxCondensed-Regular" w:hAnsi="DaxCondensed-Regular"/>
      </w:rPr>
      <w:fldChar w:fldCharType="end"/>
    </w:r>
  </w:p>
  <w:p>
    <w:pPr>
      <w:pStyle w:val="Normal"/>
      <w:ind w:left="-1701" w:right="-851" w:hanging="0"/>
      <w:jc w:val="center"/>
      <w:rPr>
        <w:rFonts w:ascii="DaxCondensed-Regular" w:hAnsi="DaxCondensed-Regular"/>
        <w:color w:val="1C3942"/>
        <w:sz w:val="8"/>
        <w:szCs w:val="8"/>
      </w:rPr>
    </w:pPr>
    <w:r>
      <w:rPr>
        <w:rFonts w:ascii="DaxCondensed-Regular" w:hAnsi="DaxCondensed-Regular"/>
        <w:color w:val="1C3942"/>
        <w:sz w:val="8"/>
        <w:szCs w:val="8"/>
      </w:rPr>
    </w:r>
  </w:p>
  <w:p>
    <w:pPr>
      <w:pStyle w:val="Normal"/>
      <w:ind w:left="-1701" w:right="-7" w:firstLine="1701"/>
      <w:jc w:val="center"/>
      <w:rPr>
        <w:rFonts w:ascii="DaxCondensed-Regular" w:hAnsi="DaxCondensed-Regular"/>
        <w:color w:val="1C3942"/>
        <w:sz w:val="18"/>
        <w:szCs w:val="18"/>
      </w:rPr>
    </w:pPr>
    <w:r>
      <w:rPr>
        <w:rFonts w:ascii="DaxCondensed-Regular" w:hAnsi="DaxCondensed-Regular"/>
        <w:color w:val="1C3942"/>
        <w:sz w:val="18"/>
        <w:szCs w:val="18"/>
      </w:rPr>
      <w:t xml:space="preserve">SEPS 705/905, Bloco “A”, Salas 401 a 406, Centro Empresarial Santa Cruz - CEP 70.390-055 - Brasília (DF) </w:t>
    </w:r>
  </w:p>
  <w:p>
    <w:pPr>
      <w:pStyle w:val="Normal"/>
      <w:ind w:left="-1701" w:right="-7" w:firstLine="1701"/>
      <w:jc w:val="center"/>
      <w:rPr>
        <w:rFonts w:ascii="DaxCondensed-Regular" w:hAnsi="DaxCondensed-Regular"/>
        <w:color w:val="1C3942"/>
        <w:sz w:val="18"/>
        <w:szCs w:val="18"/>
      </w:rPr>
    </w:pPr>
    <w:r>
      <w:rPr>
        <w:rFonts w:ascii="DaxCondensed-Regular" w:hAnsi="DaxCondensed-Regular"/>
        <w:color w:val="1C3942"/>
        <w:sz w:val="18"/>
        <w:szCs w:val="18"/>
      </w:rPr>
      <w:t>(61) 3222-5176/3222-5179 | www.caudf.gov.br | atendimento@caudf.gov.br</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ind w:left="-1701" w:right="-851" w:hanging="0"/>
      <w:jc w:val="left"/>
      <w:rPr/>
    </w:pPr>
    <w:r>
      <w:rPr/>
    </w:r>
  </w:p>
  <w:p>
    <w:pPr>
      <w:pStyle w:val="Rodap"/>
      <w:ind w:right="-851" w:hanging="0"/>
      <w:jc w:val="left"/>
      <w:rPr/>
    </w:pPr>
    <w:r>
      <w:rPr/>
    </w:r>
  </w:p>
  <w:p>
    <w:pPr>
      <w:pStyle w:val="Rodap"/>
      <w:ind w:right="-851" w:hanging="0"/>
      <w:jc w:val="left"/>
      <w:rPr>
        <w:rFonts w:ascii="Arial" w:hAnsi="Arial"/>
        <w:color w:val="1C3942"/>
        <w:sz w:val="22"/>
      </w:rPr>
    </w:pPr>
    <w:r>
      <w:rPr/>
      <w:object>
        <v:shape id="ole_rId1" style="width:453.3pt;height:42.55pt" o:ole="">
          <v:imagedata r:id="rId2" o:title=""/>
        </v:shape>
        <o:OLEObject Type="Embed" ProgID="CorelDraw.Graphic.16" ShapeID="ole_rId1" DrawAspect="Content" ObjectID="_1662346757" r:id="rId1"/>
      </w:objec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lowerLetter"/>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2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Times New Roman"/>
        <w:lang w:val="pt-BR" w:eastAsia="pt-BR"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semiHidden="0" w:unhideWhenUsed="0" w:qFormat="1"/>
    <w:lsdException w:name="Default Paragraph Font" w:uiPriority="1"/>
    <w:lsdException w:name="Body Text" w:uiPriority="0"/>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27adf"/>
    <w:pPr>
      <w:widowControl/>
      <w:bidi w:val="0"/>
      <w:jc w:val="both"/>
    </w:pPr>
    <w:rPr>
      <w:rFonts w:ascii="Times New Roman" w:hAnsi="Times New Roman" w:eastAsia="Calibri" w:cs="Times New Roman"/>
      <w:color w:val="auto"/>
      <w:kern w:val="0"/>
      <w:sz w:val="24"/>
      <w:szCs w:val="24"/>
      <w:lang w:val="pt-BR" w:eastAsia="en-US" w:bidi="ar-SA"/>
    </w:rPr>
  </w:style>
  <w:style w:type="paragraph" w:styleId="Ttulo1">
    <w:name w:val="Heading 1"/>
    <w:basedOn w:val="Normal"/>
    <w:next w:val="Normal"/>
    <w:link w:val="Ttulo1Char"/>
    <w:uiPriority w:val="9"/>
    <w:qFormat/>
    <w:rsid w:val="00155cc3"/>
    <w:pPr>
      <w:keepNext w:val="true"/>
      <w:keepLines/>
      <w:spacing w:before="240" w:after="0"/>
      <w:outlineLvl w:val="0"/>
    </w:pPr>
    <w:rPr>
      <w:rFonts w:ascii="Calibri Light" w:hAnsi="Calibri Light" w:eastAsia="Times New Roman"/>
      <w:color w:val="2E74B5"/>
      <w:sz w:val="32"/>
      <w:szCs w:val="32"/>
    </w:rPr>
  </w:style>
  <w:style w:type="paragraph" w:styleId="Ttulo2">
    <w:name w:val="Heading 2"/>
    <w:basedOn w:val="Normal"/>
    <w:next w:val="Normal"/>
    <w:link w:val="Ttulo2Char"/>
    <w:qFormat/>
    <w:rsid w:val="00727adf"/>
    <w:pPr>
      <w:keepNext w:val="true"/>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val="true"/>
      <w:keepLines/>
      <w:spacing w:before="40" w:after="0"/>
      <w:outlineLvl w:val="2"/>
    </w:pPr>
    <w:rPr>
      <w:rFonts w:ascii="Calibri Light" w:hAnsi="Calibri Light" w:eastAsia="Times New Roman"/>
      <w:color w:val="1F4D78"/>
    </w:rPr>
  </w:style>
  <w:style w:type="paragraph" w:styleId="Ttulo4">
    <w:name w:val="Heading 4"/>
    <w:basedOn w:val="Normal"/>
    <w:next w:val="Normal"/>
    <w:link w:val="Ttulo4Char"/>
    <w:uiPriority w:val="9"/>
    <w:unhideWhenUsed/>
    <w:qFormat/>
    <w:rsid w:val="00d714e1"/>
    <w:pPr>
      <w:keepNext w:val="true"/>
      <w:jc w:val="center"/>
      <w:outlineLvl w:val="3"/>
    </w:pPr>
    <w:rPr>
      <w:b/>
    </w:rPr>
  </w:style>
  <w:style w:type="character" w:styleId="DefaultParagraphFont" w:default="1">
    <w:name w:val="Default Paragraph Font"/>
    <w:uiPriority w:val="1"/>
    <w:semiHidden/>
    <w:unhideWhenUsed/>
    <w:qFormat/>
    <w:rPr/>
  </w:style>
  <w:style w:type="character" w:styleId="Ttulo2Char" w:customStyle="1">
    <w:name w:val="Título 2 Char"/>
    <w:link w:val="Ttulo2"/>
    <w:qFormat/>
    <w:rsid w:val="00727adf"/>
    <w:rPr>
      <w:rFonts w:ascii="Times New Roman" w:hAnsi="Times New Roman" w:eastAsia="Times New Roman" w:cs="Times New Roman"/>
      <w:b/>
      <w:sz w:val="24"/>
      <w:szCs w:val="20"/>
      <w:lang w:eastAsia="pt-BR"/>
    </w:rPr>
  </w:style>
  <w:style w:type="character" w:styleId="CabealhoChar" w:customStyle="1">
    <w:name w:val="Cabeçalho Char"/>
    <w:link w:val="Cabealho"/>
    <w:qFormat/>
    <w:rsid w:val="00727adf"/>
    <w:rPr>
      <w:rFonts w:ascii="Cambria" w:hAnsi="Cambria" w:eastAsia="MS Mincho" w:cs="Times New Roman"/>
      <w:sz w:val="24"/>
      <w:szCs w:val="24"/>
    </w:rPr>
  </w:style>
  <w:style w:type="character" w:styleId="RodapChar" w:customStyle="1">
    <w:name w:val="Rodapé Char"/>
    <w:link w:val="Rodap"/>
    <w:uiPriority w:val="99"/>
    <w:qFormat/>
    <w:rsid w:val="00727adf"/>
    <w:rPr>
      <w:rFonts w:ascii="Cambria" w:hAnsi="Cambria" w:eastAsia="MS Mincho" w:cs="Times New Roman"/>
      <w:sz w:val="24"/>
      <w:szCs w:val="24"/>
    </w:rPr>
  </w:style>
  <w:style w:type="character" w:styleId="RecuodecorpodetextoChar" w:customStyle="1">
    <w:name w:val="Recuo de corpo de texto Char"/>
    <w:link w:val="Recuodecorpodetexto"/>
    <w:qFormat/>
    <w:rsid w:val="00727adf"/>
    <w:rPr>
      <w:rFonts w:ascii="Times New Roman" w:hAnsi="Times New Roman" w:eastAsia="Times New Roman" w:cs="Times New Roman"/>
      <w:sz w:val="24"/>
      <w:szCs w:val="20"/>
      <w:lang w:eastAsia="pt-BR"/>
    </w:rPr>
  </w:style>
  <w:style w:type="character" w:styleId="CorpodetextoChar" w:customStyle="1">
    <w:name w:val="Corpo de texto Char"/>
    <w:link w:val="Corpodetexto"/>
    <w:qFormat/>
    <w:rsid w:val="00727adf"/>
    <w:rPr>
      <w:rFonts w:ascii="Times New Roman" w:hAnsi="Times New Roman" w:eastAsia="Times New Roman" w:cs="Times New Roman"/>
      <w:sz w:val="24"/>
      <w:szCs w:val="20"/>
      <w:lang w:eastAsia="pt-BR"/>
    </w:rPr>
  </w:style>
  <w:style w:type="character" w:styleId="Corpodetexto2Char" w:customStyle="1">
    <w:name w:val="Corpo de texto 2 Char"/>
    <w:link w:val="Corpodetexto2"/>
    <w:uiPriority w:val="99"/>
    <w:qFormat/>
    <w:rsid w:val="00b00899"/>
    <w:rPr>
      <w:rFonts w:ascii="Times New Roman" w:hAnsi="Times New Roman" w:eastAsia="MS Mincho" w:cs="Times New Roman"/>
      <w:sz w:val="28"/>
      <w:szCs w:val="28"/>
    </w:rPr>
  </w:style>
  <w:style w:type="character" w:styleId="Ttulo1Char" w:customStyle="1">
    <w:name w:val="Título 1 Char"/>
    <w:link w:val="Ttulo1"/>
    <w:uiPriority w:val="9"/>
    <w:qFormat/>
    <w:rsid w:val="00155cc3"/>
    <w:rPr>
      <w:rFonts w:ascii="Calibri Light" w:hAnsi="Calibri Light" w:eastAsia="Times New Roman" w:cs="Times New Roman"/>
      <w:color w:val="2E74B5"/>
      <w:sz w:val="32"/>
      <w:szCs w:val="32"/>
    </w:rPr>
  </w:style>
  <w:style w:type="character" w:styleId="Ttulo3Char" w:customStyle="1">
    <w:name w:val="Título 3 Char"/>
    <w:link w:val="Ttulo3"/>
    <w:uiPriority w:val="9"/>
    <w:semiHidden/>
    <w:qFormat/>
    <w:rsid w:val="00155cc3"/>
    <w:rPr>
      <w:rFonts w:ascii="Calibri Light" w:hAnsi="Calibri Light" w:eastAsia="Times New Roman" w:cs="Times New Roman"/>
      <w:color w:val="1F4D78"/>
      <w:sz w:val="24"/>
      <w:szCs w:val="24"/>
    </w:rPr>
  </w:style>
  <w:style w:type="character" w:styleId="Ttulo4Char" w:customStyle="1">
    <w:name w:val="Título 4 Char"/>
    <w:link w:val="Ttulo4"/>
    <w:uiPriority w:val="9"/>
    <w:qFormat/>
    <w:rsid w:val="00d714e1"/>
    <w:rPr>
      <w:rFonts w:ascii="Times New Roman" w:hAnsi="Times New Roman" w:eastAsia="MS Mincho" w:cs="Times New Roman"/>
      <w:b/>
      <w:sz w:val="24"/>
      <w:szCs w:val="24"/>
    </w:rPr>
  </w:style>
  <w:style w:type="character" w:styleId="TextodebaloChar" w:customStyle="1">
    <w:name w:val="Texto de balão Char"/>
    <w:link w:val="Textodebalo"/>
    <w:uiPriority w:val="99"/>
    <w:semiHidden/>
    <w:qFormat/>
    <w:rsid w:val="00b13e1b"/>
    <w:rPr>
      <w:rFonts w:ascii="Tahoma" w:hAnsi="Tahoma" w:cs="Tahoma"/>
      <w:sz w:val="16"/>
      <w:szCs w:val="16"/>
    </w:rPr>
  </w:style>
  <w:style w:type="character" w:styleId="Recuodecorpodetexto2Char" w:customStyle="1">
    <w:name w:val="Recuo de corpo de texto 2 Char"/>
    <w:link w:val="Recuodecorpodetexto2"/>
    <w:uiPriority w:val="99"/>
    <w:qFormat/>
    <w:rsid w:val="00fd05a6"/>
    <w:rPr>
      <w:rFonts w:ascii="Calibri" w:hAnsi="Calibri"/>
      <w:sz w:val="24"/>
      <w:szCs w:val="24"/>
      <w:lang w:eastAsia="en-US"/>
    </w:rPr>
  </w:style>
  <w:style w:type="character" w:styleId="Appleconvertedspace" w:customStyle="1">
    <w:name w:val="apple-converted-space"/>
    <w:qFormat/>
    <w:rsid w:val="00407584"/>
    <w:rPr/>
  </w:style>
  <w:style w:type="character" w:styleId="LinkdaInternet">
    <w:name w:val="Link da Internet"/>
    <w:uiPriority w:val="99"/>
    <w:unhideWhenUsed/>
    <w:rsid w:val="00407584"/>
    <w:rPr>
      <w:color w:val="0000FF"/>
      <w:u w:val="single"/>
    </w:rPr>
  </w:style>
  <w:style w:type="character" w:styleId="Corpodetexto3Char" w:customStyle="1">
    <w:name w:val="Corpo de texto 3 Char"/>
    <w:link w:val="Corpodetexto3"/>
    <w:uiPriority w:val="99"/>
    <w:qFormat/>
    <w:rsid w:val="005542f6"/>
    <w:rPr>
      <w:rFonts w:ascii="Calibri" w:hAnsi="Calibri" w:cs="Arial"/>
      <w:color w:val="1F1A17"/>
      <w:sz w:val="24"/>
      <w:szCs w:val="24"/>
    </w:rPr>
  </w:style>
  <w:style w:type="character" w:styleId="Parag2Char" w:customStyle="1">
    <w:name w:val="parag2 Char"/>
    <w:link w:val="parag2"/>
    <w:qFormat/>
    <w:rsid w:val="00a22ca8"/>
    <w:rPr>
      <w:rFonts w:eastAsia="Times New Roman"/>
      <w:sz w:val="24"/>
      <w:szCs w:val="24"/>
    </w:rPr>
  </w:style>
  <w:style w:type="character" w:styleId="TtuloChar" w:customStyle="1">
    <w:name w:val="Título Char"/>
    <w:link w:val="Ttulo"/>
    <w:uiPriority w:val="10"/>
    <w:qFormat/>
    <w:rsid w:val="00ab01db"/>
    <w:rPr>
      <w:rFonts w:eastAsia="Times New Roman"/>
      <w:b/>
      <w:sz w:val="24"/>
      <w:szCs w:val="24"/>
      <w:lang w:eastAsia="en-US"/>
    </w:rPr>
  </w:style>
  <w:style w:type="character" w:styleId="CabealhodamensagemChar" w:customStyle="1">
    <w:name w:val="Cabeçalho da mensagem Char"/>
    <w:link w:val="Cabealhodamensagem"/>
    <w:uiPriority w:val="99"/>
    <w:semiHidden/>
    <w:qFormat/>
    <w:rsid w:val="009c0f42"/>
    <w:rPr>
      <w:rFonts w:ascii="Calibri Light" w:hAnsi="Calibri Light" w:eastAsia="Times New Roman" w:cs="Times New Roman"/>
      <w:sz w:val="24"/>
      <w:szCs w:val="24"/>
      <w:shd w:fill="CCCCCC" w:val="clear"/>
      <w:lang w:eastAsia="en-US"/>
    </w:rPr>
  </w:style>
  <w:style w:type="character" w:styleId="Strong">
    <w:name w:val="Strong"/>
    <w:basedOn w:val="DefaultParagraphFont"/>
    <w:uiPriority w:val="22"/>
    <w:qFormat/>
    <w:rsid w:val="001412f5"/>
    <w:rPr>
      <w:b/>
      <w:bCs/>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link w:val="CorpodetextoChar"/>
    <w:rsid w:val="00727adf"/>
    <w:pPr/>
    <w:rPr>
      <w:rFonts w:eastAsia="Times New Roman"/>
      <w:szCs w:val="20"/>
      <w:lang w:eastAsia="pt-B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CabealhoeRodap">
    <w:name w:val="Cabeçalho e Rodapé"/>
    <w:basedOn w:val="Normal"/>
    <w:qFormat/>
    <w:pPr/>
    <w:rPr/>
  </w:style>
  <w:style w:type="paragraph" w:styleId="Cabealho">
    <w:name w:val="Header"/>
    <w:basedOn w:val="Normal"/>
    <w:link w:val="CabealhoChar"/>
    <w:unhideWhenUsed/>
    <w:rsid w:val="00727adf"/>
    <w:pPr>
      <w:tabs>
        <w:tab w:val="clear" w:pos="708"/>
        <w:tab w:val="center" w:pos="4320" w:leader="none"/>
        <w:tab w:val="right" w:pos="8640" w:leader="none"/>
      </w:tabs>
    </w:pPr>
    <w:rPr/>
  </w:style>
  <w:style w:type="paragraph" w:styleId="Rodap">
    <w:name w:val="Footer"/>
    <w:basedOn w:val="Normal"/>
    <w:link w:val="RodapChar"/>
    <w:uiPriority w:val="99"/>
    <w:unhideWhenUsed/>
    <w:rsid w:val="00727adf"/>
    <w:pPr>
      <w:tabs>
        <w:tab w:val="clear" w:pos="708"/>
        <w:tab w:val="center" w:pos="4320" w:leader="none"/>
        <w:tab w:val="right" w:pos="8640" w:leader="none"/>
      </w:tabs>
    </w:pPr>
    <w:rPr/>
  </w:style>
  <w:style w:type="paragraph" w:styleId="ListParagraph">
    <w:name w:val="List Paragraph"/>
    <w:basedOn w:val="Normal"/>
    <w:uiPriority w:val="34"/>
    <w:qFormat/>
    <w:rsid w:val="00727adf"/>
    <w:pPr>
      <w:spacing w:before="0" w:after="0"/>
      <w:ind w:left="720" w:hanging="0"/>
      <w:contextualSpacing/>
    </w:pPr>
    <w:rPr/>
  </w:style>
  <w:style w:type="paragraph" w:styleId="Corpodotextorecuado">
    <w:name w:val="Body Text Indent"/>
    <w:basedOn w:val="Normal"/>
    <w:link w:val="RecuodecorpodetextoChar"/>
    <w:rsid w:val="00727adf"/>
    <w:pPr>
      <w:ind w:left="720" w:hanging="0"/>
    </w:pPr>
    <w:rPr>
      <w:rFonts w:eastAsia="Times New Roman"/>
      <w:szCs w:val="20"/>
      <w:lang w:eastAsia="pt-BR"/>
    </w:rPr>
  </w:style>
  <w:style w:type="paragraph" w:styleId="BodyText2">
    <w:name w:val="Body Text 2"/>
    <w:basedOn w:val="Normal"/>
    <w:link w:val="Corpodetexto2Char"/>
    <w:uiPriority w:val="99"/>
    <w:unhideWhenUsed/>
    <w:qFormat/>
    <w:rsid w:val="00b00899"/>
    <w:pPr/>
    <w:rPr>
      <w:sz w:val="28"/>
      <w:szCs w:val="28"/>
    </w:rPr>
  </w:style>
  <w:style w:type="paragraph" w:styleId="BalloonText">
    <w:name w:val="Balloon Text"/>
    <w:basedOn w:val="Normal"/>
    <w:link w:val="TextodebaloChar"/>
    <w:uiPriority w:val="99"/>
    <w:semiHidden/>
    <w:unhideWhenUsed/>
    <w:qFormat/>
    <w:rsid w:val="00b13e1b"/>
    <w:pPr/>
    <w:rPr>
      <w:rFonts w:ascii="Tahoma" w:hAnsi="Tahoma" w:cs="Tahoma"/>
      <w:sz w:val="16"/>
      <w:szCs w:val="16"/>
    </w:rPr>
  </w:style>
  <w:style w:type="paragraph" w:styleId="BodyTextIndent2">
    <w:name w:val="Body Text Indent 2"/>
    <w:basedOn w:val="Normal"/>
    <w:link w:val="Recuodecorpodetexto2Char"/>
    <w:uiPriority w:val="99"/>
    <w:unhideWhenUsed/>
    <w:qFormat/>
    <w:rsid w:val="00fd05a6"/>
    <w:pPr>
      <w:ind w:left="3686" w:hanging="0"/>
    </w:pPr>
    <w:rPr>
      <w:rFonts w:ascii="Calibri" w:hAnsi="Calibri"/>
    </w:rPr>
  </w:style>
  <w:style w:type="paragraph" w:styleId="NormalWeb">
    <w:name w:val="Normal (Web)"/>
    <w:basedOn w:val="Normal"/>
    <w:uiPriority w:val="99"/>
    <w:unhideWhenUsed/>
    <w:qFormat/>
    <w:rsid w:val="00407584"/>
    <w:pPr>
      <w:spacing w:beforeAutospacing="1" w:afterAutospacing="1"/>
      <w:jc w:val="left"/>
    </w:pPr>
    <w:rPr>
      <w:rFonts w:eastAsia="Times New Roman"/>
      <w:lang w:eastAsia="pt-BR"/>
    </w:rPr>
  </w:style>
  <w:style w:type="paragraph" w:styleId="BodyText3">
    <w:name w:val="Body Text 3"/>
    <w:basedOn w:val="Normal"/>
    <w:link w:val="Corpodetexto3Char"/>
    <w:uiPriority w:val="99"/>
    <w:unhideWhenUsed/>
    <w:qFormat/>
    <w:rsid w:val="005542f6"/>
    <w:pPr/>
    <w:rPr>
      <w:rFonts w:ascii="Calibri" w:hAnsi="Calibri" w:cs="Arial"/>
      <w:color w:val="1F1A17"/>
      <w:lang w:eastAsia="pt-BR"/>
    </w:rPr>
  </w:style>
  <w:style w:type="paragraph" w:styleId="Parag2" w:customStyle="1">
    <w:name w:val="parag2"/>
    <w:basedOn w:val="Normal"/>
    <w:link w:val="parag2Char"/>
    <w:qFormat/>
    <w:rsid w:val="00a22ca8"/>
    <w:pPr>
      <w:spacing w:beforeAutospacing="1" w:afterAutospacing="1"/>
      <w:jc w:val="left"/>
    </w:pPr>
    <w:rPr>
      <w:rFonts w:eastAsia="Times New Roman"/>
      <w:lang w:eastAsia="pt-BR"/>
    </w:rPr>
  </w:style>
  <w:style w:type="paragraph" w:styleId="Ttulododocumento">
    <w:name w:val="Title"/>
    <w:basedOn w:val="Normal"/>
    <w:next w:val="Normal"/>
    <w:link w:val="TtuloChar"/>
    <w:uiPriority w:val="10"/>
    <w:qFormat/>
    <w:rsid w:val="00ab01db"/>
    <w:pPr>
      <w:jc w:val="center"/>
    </w:pPr>
    <w:rPr>
      <w:rFonts w:eastAsia="Times New Roman"/>
      <w:b/>
    </w:rPr>
  </w:style>
  <w:style w:type="paragraph" w:styleId="Cabedamensagemantes" w:customStyle="1">
    <w:name w:val="Cabeç. da mensagem antes"/>
    <w:basedOn w:val="MessageHeader"/>
    <w:next w:val="MessageHeader"/>
    <w:qFormat/>
    <w:rsid w:val="009c0f42"/>
    <w:pPr>
      <w:keepLines/>
      <w:pBdr>
        <w:top w:val="nil"/>
        <w:left w:val="nil"/>
        <w:bottom w:val="nil"/>
        <w:right w:val="nil"/>
      </w:pBdr>
      <w:shd w:val="clear" w:color="auto" w:fill="auto"/>
      <w:tabs>
        <w:tab w:val="clear" w:pos="708"/>
        <w:tab w:val="left" w:pos="1560" w:leader="none"/>
      </w:tabs>
      <w:spacing w:lineRule="atLeast" w:line="415"/>
      <w:ind w:left="1560" w:right="-360" w:hanging="720"/>
      <w:jc w:val="left"/>
    </w:pPr>
    <w:rPr>
      <w:rFonts w:ascii="Times New Roman" w:hAnsi="Times New Roman"/>
      <w:sz w:val="20"/>
      <w:szCs w:val="20"/>
      <w:lang w:eastAsia="pt-BR"/>
    </w:rPr>
  </w:style>
  <w:style w:type="paragraph" w:styleId="MessageHeader">
    <w:name w:val="Message Header"/>
    <w:basedOn w:val="Normal"/>
    <w:link w:val="CabealhodamensagemChar"/>
    <w:uiPriority w:val="99"/>
    <w:semiHidden/>
    <w:unhideWhenUsed/>
    <w:qFormat/>
    <w:rsid w:val="009c0f42"/>
    <w:pPr>
      <w:pBdr>
        <w:top w:val="single" w:sz="6" w:space="1" w:color="000000"/>
        <w:left w:val="single" w:sz="6" w:space="1" w:color="000000"/>
        <w:bottom w:val="single" w:sz="6" w:space="1" w:color="000000"/>
        <w:right w:val="single" w:sz="6" w:space="1" w:color="000000"/>
      </w:pBdr>
      <w:shd w:val="pct20" w:color="auto" w:fill="auto"/>
      <w:ind w:left="1134" w:hanging="1134"/>
    </w:pPr>
    <w:rPr>
      <w:rFonts w:ascii="Calibri Light" w:hAnsi="Calibri Light" w:eastAsia="Times New Roman"/>
    </w:rPr>
  </w:style>
  <w:style w:type="paragraph" w:styleId="PargrafodaLista1" w:customStyle="1">
    <w:name w:val="Parágrafo da Lista1"/>
    <w:basedOn w:val="Normal"/>
    <w:qFormat/>
    <w:rsid w:val="00190bf9"/>
    <w:pPr>
      <w:suppressAutoHyphens w:val="true"/>
      <w:spacing w:before="0" w:after="0"/>
      <w:ind w:left="720" w:hanging="0"/>
      <w:contextualSpacing/>
    </w:pPr>
    <w:rPr/>
  </w:style>
  <w:style w:type="paragraph" w:styleId="Estilo" w:customStyle="1">
    <w:name w:val="Estilo"/>
    <w:qFormat/>
    <w:rsid w:val="00f115f7"/>
    <w:pPr>
      <w:widowControl w:val="false"/>
      <w:suppressAutoHyphens w:val="true"/>
      <w:bidi w:val="0"/>
      <w:jc w:val="left"/>
    </w:pPr>
    <w:rPr>
      <w:rFonts w:ascii="Arial" w:hAnsi="Arial" w:eastAsia="Times New Roman" w:cs="Arial"/>
      <w:color w:val="auto"/>
      <w:kern w:val="0"/>
      <w:sz w:val="24"/>
      <w:szCs w:val="24"/>
      <w:lang w:val="pt-BR" w:eastAsia="zh-CN" w:bidi="ar-SA"/>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rsid w:val="006c4650"/>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oleObject" Target="embeddings/oleObject1.bin"/><Relationship Id="rId2" Type="http://schemas.openxmlformats.org/officeDocument/2006/relationships/image" Target="media/image1.wmf"/>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800BD-CCF1-43D6-9312-4A74AC0AA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Application>LibreOffice/6.3.3.2$Windows_X86_64 LibreOffice_project/a64200df03143b798afd1ec74a12ab50359878ed</Application>
  <Pages>1</Pages>
  <Words>323</Words>
  <Characters>1816</Characters>
  <CharactersWithSpaces>2120</CharactersWithSpaces>
  <Paragraphs>26</Paragraphs>
  <Company>CAU/DF</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2020-01-30T17:32:00Z</dcterms:created>
  <dc:creator>Anderson Viana</dc:creator>
  <dc:description/>
  <dc:language>pt-BR</dc:language>
  <cp:lastModifiedBy/>
  <cp:lastPrinted>2020-02-21T14:12:00Z</cp:lastPrinted>
  <dcterms:modified xsi:type="dcterms:W3CDTF">2020-04-28T09:59:50Z</dcterms:modified>
  <cp:revision>52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CAU/DF</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