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theme/theme1.xml" ContentType="application/vnd.openxmlformats-officedocument.theme+xml"/>
  <Override PartName="/word/media/image1.wmf" ContentType="image/x-wmf"/>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180" w:type="dxa"/>
        <w:jc w:val="left"/>
        <w:tblInd w:w="0" w:type="dxa"/>
        <w:tblCellMar>
          <w:top w:w="0" w:type="dxa"/>
          <w:left w:w="108" w:type="dxa"/>
          <w:bottom w:w="0" w:type="dxa"/>
          <w:right w:w="108" w:type="dxa"/>
        </w:tblCellMar>
        <w:tblLook w:firstRow="1" w:noVBand="1" w:lastRow="0" w:firstColumn="1" w:lastColumn="0" w:noHBand="0" w:val="04a0"/>
      </w:tblPr>
      <w:tblGrid>
        <w:gridCol w:w="2234"/>
        <w:gridCol w:w="6945"/>
      </w:tblGrid>
      <w:tr>
        <w:trPr/>
        <w:tc>
          <w:tcPr>
            <w:tcW w:w="2234" w:type="dxa"/>
            <w:tcBorders>
              <w:top w:val="single" w:sz="4" w:space="0" w:color="000000"/>
              <w:bottom w:val="single" w:sz="4" w:space="0" w:color="000000"/>
              <w:right w:val="single" w:sz="4" w:space="0" w:color="000000"/>
            </w:tcBorders>
            <w:shd w:color="auto" w:fill="F2F2F2" w:val="clear"/>
            <w:vAlign w:val="center"/>
          </w:tcPr>
          <w:p>
            <w:pPr>
              <w:pStyle w:val="Ttulo2"/>
              <w:rPr>
                <w:b w:val="false"/>
                <w:b w:val="false"/>
                <w:szCs w:val="24"/>
              </w:rPr>
            </w:pPr>
            <w:r>
              <w:rPr>
                <w:b w:val="false"/>
                <w:sz w:val="22"/>
                <w:szCs w:val="22"/>
              </w:rPr>
              <w:t>PROCESSO</w:t>
            </w:r>
          </w:p>
        </w:tc>
        <w:tc>
          <w:tcPr>
            <w:tcW w:w="6945" w:type="dxa"/>
            <w:tcBorders>
              <w:top w:val="single" w:sz="4" w:space="0" w:color="000000"/>
              <w:left w:val="single" w:sz="4" w:space="0" w:color="000000"/>
              <w:bottom w:val="single" w:sz="4" w:space="0" w:color="000000"/>
            </w:tcBorders>
            <w:shd w:fill="auto" w:val="clear"/>
          </w:tcPr>
          <w:p>
            <w:pPr>
              <w:pStyle w:val="Cabealho"/>
              <w:tabs>
                <w:tab w:val="clear" w:pos="4320"/>
                <w:tab w:val="clear" w:pos="8640"/>
                <w:tab w:val="left" w:pos="2780" w:leader="none"/>
              </w:tabs>
              <w:spacing w:lineRule="atLeast" w:line="240"/>
              <w:ind w:right="113" w:hanging="0"/>
              <w:rPr>
                <w:b w:val="false"/>
                <w:b w:val="false"/>
                <w:bCs w:val="false"/>
              </w:rPr>
            </w:pPr>
            <w:r>
              <w:rPr>
                <w:sz w:val="22"/>
                <w:szCs w:val="22"/>
              </w:rPr>
            </w:r>
          </w:p>
        </w:tc>
      </w:tr>
      <w:tr>
        <w:trPr/>
        <w:tc>
          <w:tcPr>
            <w:tcW w:w="2234" w:type="dxa"/>
            <w:tcBorders>
              <w:top w:val="single" w:sz="4" w:space="0" w:color="000000"/>
              <w:bottom w:val="single" w:sz="4" w:space="0" w:color="000000"/>
              <w:right w:val="single" w:sz="4" w:space="0" w:color="000000"/>
            </w:tcBorders>
            <w:shd w:color="auto" w:fill="F2F2F2" w:val="clear"/>
            <w:vAlign w:val="center"/>
          </w:tcPr>
          <w:p>
            <w:pPr>
              <w:pStyle w:val="Cabealho"/>
              <w:spacing w:lineRule="atLeast" w:line="240"/>
              <w:rPr>
                <w:b/>
                <w:b/>
              </w:rPr>
            </w:pPr>
            <w:r>
              <w:rPr>
                <w:sz w:val="22"/>
                <w:szCs w:val="22"/>
              </w:rPr>
              <w:t>INTERRESSADO</w:t>
            </w:r>
          </w:p>
        </w:tc>
        <w:tc>
          <w:tcPr>
            <w:tcW w:w="6945" w:type="dxa"/>
            <w:tcBorders>
              <w:top w:val="single" w:sz="4" w:space="0" w:color="000000"/>
              <w:left w:val="single" w:sz="4" w:space="0" w:color="000000"/>
              <w:bottom w:val="single" w:sz="4" w:space="0" w:color="000000"/>
            </w:tcBorders>
            <w:shd w:fill="auto" w:val="clear"/>
            <w:vAlign w:val="center"/>
          </w:tcPr>
          <w:p>
            <w:pPr>
              <w:pStyle w:val="Cabealho"/>
              <w:spacing w:lineRule="atLeast" w:line="240"/>
              <w:rPr>
                <w:rFonts w:eastAsia="Times New Roman"/>
                <w:bCs/>
                <w:lang w:eastAsia="pt-BR"/>
              </w:rPr>
            </w:pPr>
            <w:r>
              <w:rPr>
                <w:rFonts w:eastAsia="Times New Roman"/>
                <w:bCs/>
                <w:sz w:val="22"/>
                <w:szCs w:val="22"/>
                <w:lang w:eastAsia="pt-BR"/>
              </w:rPr>
              <w:t>CAU/DF</w:t>
            </w:r>
          </w:p>
        </w:tc>
      </w:tr>
      <w:tr>
        <w:trPr>
          <w:trHeight w:val="94" w:hRule="atLeast"/>
        </w:trPr>
        <w:tc>
          <w:tcPr>
            <w:tcW w:w="2234" w:type="dxa"/>
            <w:tcBorders>
              <w:top w:val="single" w:sz="4" w:space="0" w:color="000000"/>
              <w:bottom w:val="single" w:sz="4" w:space="0" w:color="000000"/>
              <w:right w:val="single" w:sz="4" w:space="0" w:color="000000"/>
            </w:tcBorders>
            <w:shd w:color="auto" w:fill="F2F2F2" w:val="clear"/>
            <w:vAlign w:val="center"/>
          </w:tcPr>
          <w:p>
            <w:pPr>
              <w:pStyle w:val="Cabealho"/>
              <w:spacing w:lineRule="atLeast" w:line="240"/>
              <w:rPr>
                <w:sz w:val="22"/>
                <w:szCs w:val="22"/>
              </w:rPr>
            </w:pPr>
            <w:r>
              <w:rPr>
                <w:sz w:val="22"/>
                <w:szCs w:val="22"/>
              </w:rPr>
              <w:t>ASSUNTO</w:t>
            </w:r>
          </w:p>
        </w:tc>
        <w:tc>
          <w:tcPr>
            <w:tcW w:w="6945" w:type="dxa"/>
            <w:tcBorders>
              <w:top w:val="single" w:sz="4" w:space="0" w:color="000000"/>
              <w:left w:val="single" w:sz="4" w:space="0" w:color="000000"/>
              <w:bottom w:val="single" w:sz="4" w:space="0" w:color="000000"/>
            </w:tcBorders>
            <w:shd w:fill="auto" w:val="clear"/>
            <w:vAlign w:val="center"/>
          </w:tcPr>
          <w:p>
            <w:pPr>
              <w:pStyle w:val="Estilo"/>
              <w:shd w:val="clear" w:color="auto" w:fill="FFFFFF"/>
              <w:spacing w:lineRule="exact" w:line="244" w:before="4" w:after="0"/>
              <w:jc w:val="both"/>
              <w:rPr>
                <w:sz w:val="22"/>
                <w:szCs w:val="22"/>
              </w:rPr>
            </w:pPr>
            <w:r>
              <w:rPr>
                <w:rFonts w:eastAsia="Times New Roman" w:cs="Times New Roman" w:ascii="Times New Roman" w:hAnsi="Times New Roman"/>
                <w:color w:val="222124"/>
                <w:sz w:val="22"/>
                <w:szCs w:val="22"/>
                <w:highlight w:val="white"/>
                <w:shd w:fill="FFFFFF" w:val="clear"/>
                <w:lang w:val="pt-BR" w:eastAsia="en-US"/>
              </w:rPr>
              <w:t xml:space="preserve">PLANO DE AÇÃO DE REPROGRAMAÇÃO EXTRAORDINÁRIA 2020 PARA PROJETO ESPECÍFICO </w:t>
            </w:r>
          </w:p>
        </w:tc>
      </w:tr>
    </w:tbl>
    <w:p>
      <w:pPr>
        <w:pStyle w:val="Cabealho"/>
        <w:spacing w:lineRule="atLeast" w:line="240"/>
        <w:jc w:val="center"/>
        <w:rPr>
          <w:b/>
          <w:b/>
          <w:sz w:val="22"/>
          <w:szCs w:val="22"/>
        </w:rPr>
      </w:pPr>
      <w:r>
        <w:rPr>
          <w:b/>
          <w:sz w:val="22"/>
          <w:szCs w:val="22"/>
        </w:rPr>
      </w:r>
    </w:p>
    <w:tbl>
      <w:tblPr>
        <w:tblW w:w="9180" w:type="dxa"/>
        <w:jc w:val="left"/>
        <w:tblInd w:w="0" w:type="dxa"/>
        <w:tblCellMar>
          <w:top w:w="0" w:type="dxa"/>
          <w:left w:w="108" w:type="dxa"/>
          <w:bottom w:w="0" w:type="dxa"/>
          <w:right w:w="108" w:type="dxa"/>
        </w:tblCellMar>
        <w:tblLook w:firstRow="1" w:noVBand="1" w:lastRow="0" w:firstColumn="1" w:lastColumn="0" w:noHBand="0" w:val="04a0"/>
      </w:tblPr>
      <w:tblGrid>
        <w:gridCol w:w="9180"/>
      </w:tblGrid>
      <w:tr>
        <w:trPr/>
        <w:tc>
          <w:tcPr>
            <w:tcW w:w="9180" w:type="dxa"/>
            <w:tcBorders>
              <w:top w:val="single" w:sz="4" w:space="0" w:color="000000"/>
              <w:bottom w:val="single" w:sz="4" w:space="0" w:color="000000"/>
            </w:tcBorders>
            <w:shd w:color="auto" w:fill="F2F2F2" w:val="clear"/>
          </w:tcPr>
          <w:p>
            <w:pPr>
              <w:pStyle w:val="Cabealho"/>
              <w:spacing w:lineRule="atLeast" w:line="240"/>
              <w:jc w:val="center"/>
              <w:rPr>
                <w:sz w:val="22"/>
                <w:szCs w:val="22"/>
              </w:rPr>
            </w:pPr>
            <w:r>
              <w:rPr>
                <w:b/>
                <w:sz w:val="22"/>
                <w:szCs w:val="22"/>
              </w:rPr>
              <w:t>DELIBERAÇÃO PLENÁRIA DPODF Nº 03</w:t>
            </w:r>
            <w:r>
              <w:rPr>
                <w:rFonts w:eastAsia="Calibri" w:cs="Times New Roman"/>
                <w:b/>
                <w:color w:val="auto"/>
                <w:kern w:val="0"/>
                <w:sz w:val="22"/>
                <w:szCs w:val="22"/>
                <w:lang w:val="pt-BR" w:eastAsia="en-US" w:bidi="ar-SA"/>
              </w:rPr>
              <w:t>60</w:t>
            </w:r>
            <w:r>
              <w:rPr>
                <w:b/>
                <w:sz w:val="22"/>
                <w:szCs w:val="22"/>
              </w:rPr>
              <w:t>/2020</w:t>
            </w:r>
          </w:p>
        </w:tc>
      </w:tr>
    </w:tbl>
    <w:p>
      <w:pPr>
        <w:pStyle w:val="Cabealho"/>
        <w:tabs>
          <w:tab w:val="center" w:pos="4320" w:leader="none"/>
          <w:tab w:val="left" w:pos="4962" w:leader="none"/>
          <w:tab w:val="right" w:pos="8640" w:leader="none"/>
        </w:tabs>
        <w:spacing w:lineRule="atLeast" w:line="240"/>
        <w:rPr>
          <w:sz w:val="24"/>
          <w:szCs w:val="24"/>
        </w:rPr>
      </w:pPr>
      <w:r>
        <w:rPr>
          <w:sz w:val="22"/>
          <w:szCs w:val="22"/>
        </w:rPr>
        <w:tab/>
        <w:tab/>
      </w:r>
    </w:p>
    <w:p>
      <w:pPr>
        <w:pStyle w:val="Cabealho"/>
        <w:spacing w:lineRule="atLeast" w:line="240"/>
        <w:ind w:left="5103" w:hanging="0"/>
        <w:rPr>
          <w:sz w:val="22"/>
          <w:szCs w:val="22"/>
        </w:rPr>
      </w:pPr>
      <w:r>
        <w:rPr>
          <w:rFonts w:eastAsia="Verdana" w:cs="Times New Roman"/>
          <w:bCs/>
          <w:color w:val="auto"/>
          <w:kern w:val="0"/>
          <w:sz w:val="22"/>
          <w:szCs w:val="22"/>
          <w:lang w:val="pt-BR" w:eastAsia="en-US" w:bidi="ar-SA"/>
        </w:rPr>
        <w:t xml:space="preserve">Aprova </w:t>
      </w:r>
      <w:r>
        <w:rPr>
          <w:rFonts w:eastAsia="Verdana" w:cs="Times New Roman"/>
          <w:bCs/>
          <w:color w:val="auto"/>
          <w:kern w:val="0"/>
          <w:sz w:val="22"/>
          <w:szCs w:val="22"/>
          <w:lang w:val="pt-BR" w:eastAsia="pt-BR" w:bidi="ar-SA"/>
        </w:rPr>
        <w:t xml:space="preserve">redução dos valores do projeto especial para utilização de </w:t>
      </w:r>
      <w:r>
        <w:rPr>
          <w:rFonts w:eastAsia="Verdana" w:cs="Times New Roman"/>
          <w:bCs/>
          <w:i/>
          <w:iCs/>
          <w:color w:val="auto"/>
          <w:kern w:val="0"/>
          <w:sz w:val="22"/>
          <w:szCs w:val="22"/>
          <w:lang w:val="pt-BR" w:eastAsia="pt-BR" w:bidi="ar-SA"/>
        </w:rPr>
        <w:t>superávit</w:t>
      </w:r>
      <w:r>
        <w:rPr>
          <w:rFonts w:eastAsia="Verdana" w:cs="Times New Roman"/>
          <w:bCs/>
          <w:color w:val="auto"/>
          <w:kern w:val="0"/>
          <w:sz w:val="22"/>
          <w:szCs w:val="22"/>
          <w:lang w:val="pt-BR" w:eastAsia="en-US" w:bidi="ar-SA"/>
        </w:rPr>
        <w:t xml:space="preserve">. </w:t>
      </w:r>
      <w:bookmarkStart w:id="0" w:name="_GoBack"/>
      <w:bookmarkEnd w:id="0"/>
    </w:p>
    <w:p>
      <w:pPr>
        <w:pStyle w:val="Normal"/>
        <w:rPr>
          <w:rFonts w:eastAsia="Verdana"/>
          <w:sz w:val="22"/>
          <w:szCs w:val="22"/>
        </w:rPr>
      </w:pPr>
      <w:r>
        <w:rPr>
          <w:rFonts w:eastAsia="Verdana"/>
          <w:sz w:val="22"/>
          <w:szCs w:val="22"/>
        </w:rPr>
      </w:r>
    </w:p>
    <w:p>
      <w:pPr>
        <w:pStyle w:val="Normal"/>
        <w:rPr>
          <w:sz w:val="22"/>
          <w:szCs w:val="22"/>
        </w:rPr>
      </w:pPr>
      <w:r>
        <w:rPr>
          <w:rFonts w:eastAsia="Verdana"/>
          <w:sz w:val="22"/>
          <w:szCs w:val="22"/>
        </w:rPr>
        <w:t xml:space="preserve">O PLENÁRIO DO CONSELHO DE ARQUITETURA E URBANISMO DO DISTRITO FEDERAL - CAU/DF, no uso das competências que lhe confere a seção II, art. 29, do Regimento Interno do CAU/DF, e reunido ordinariamente </w:t>
      </w:r>
      <w:r>
        <w:rPr>
          <w:rFonts w:eastAsia="Verdana" w:cs="Times New Roman"/>
          <w:color w:val="auto"/>
          <w:kern w:val="0"/>
          <w:sz w:val="22"/>
          <w:szCs w:val="22"/>
          <w:lang w:val="pt-BR" w:eastAsia="en-US" w:bidi="ar-SA"/>
        </w:rPr>
        <w:t>por meio de videoconferência</w:t>
      </w:r>
      <w:r>
        <w:rPr>
          <w:rFonts w:eastAsia="Verdana"/>
          <w:sz w:val="22"/>
          <w:szCs w:val="22"/>
        </w:rPr>
        <w:t xml:space="preserve">, no dia </w:t>
      </w:r>
      <w:r>
        <w:rPr>
          <w:rFonts w:eastAsia="Verdana" w:cs="Times New Roman"/>
          <w:color w:val="auto"/>
          <w:kern w:val="0"/>
          <w:sz w:val="22"/>
          <w:szCs w:val="22"/>
          <w:lang w:val="pt-BR" w:eastAsia="en-US" w:bidi="ar-SA"/>
        </w:rPr>
        <w:t>2</w:t>
      </w:r>
      <w:r>
        <w:rPr>
          <w:rFonts w:eastAsia="Verdana"/>
          <w:sz w:val="22"/>
          <w:szCs w:val="22"/>
        </w:rPr>
        <w:t xml:space="preserve">7 de </w:t>
      </w:r>
      <w:r>
        <w:rPr>
          <w:rFonts w:eastAsia="Verdana" w:cs="Times New Roman"/>
          <w:color w:val="auto"/>
          <w:kern w:val="0"/>
          <w:sz w:val="22"/>
          <w:szCs w:val="22"/>
          <w:lang w:val="pt-BR" w:eastAsia="en-US" w:bidi="ar-SA"/>
        </w:rPr>
        <w:t>abril</w:t>
      </w:r>
      <w:r>
        <w:rPr>
          <w:rFonts w:eastAsia="Verdana"/>
          <w:sz w:val="22"/>
          <w:szCs w:val="22"/>
        </w:rPr>
        <w:t xml:space="preserve"> de 2020, após análise do assunto em epígrafe, e</w:t>
      </w:r>
    </w:p>
    <w:p>
      <w:pPr>
        <w:pStyle w:val="Normal"/>
        <w:rPr>
          <w:rFonts w:eastAsia="Verdana"/>
          <w:sz w:val="22"/>
          <w:szCs w:val="22"/>
        </w:rPr>
      </w:pPr>
      <w:r>
        <w:rPr>
          <w:rFonts w:eastAsia="Verdana"/>
          <w:sz w:val="22"/>
          <w:szCs w:val="22"/>
        </w:rPr>
      </w:r>
    </w:p>
    <w:p>
      <w:pPr>
        <w:pStyle w:val="Normal"/>
        <w:rPr>
          <w:sz w:val="22"/>
          <w:szCs w:val="22"/>
        </w:rPr>
      </w:pPr>
      <w:r>
        <w:rPr>
          <w:rFonts w:eastAsia="Verdana"/>
          <w:sz w:val="22"/>
          <w:szCs w:val="22"/>
        </w:rPr>
        <w:t xml:space="preserve">Considerando o art. 29, inciso </w:t>
      </w:r>
      <w:r>
        <w:rPr>
          <w:color w:val="000000"/>
          <w:sz w:val="22"/>
          <w:szCs w:val="22"/>
        </w:rPr>
        <w:t xml:space="preserve">XXVI, do Regimento Interno do CAU/DF, ao qual dispõe que é atribuição do Plenário do CAU/DF </w:t>
      </w:r>
      <w:r>
        <w:rPr>
          <w:i/>
          <w:color w:val="000000"/>
          <w:sz w:val="22"/>
          <w:szCs w:val="22"/>
        </w:rPr>
        <w:t>“XXVI - apreciar e deliberar sobre os planos de ação e orçamento do CAU/DF, observando o Planejamento Estratégico do CAU e o disposto no art. 34 da Lei n° 12.378, de 31 de dezembro de 2010 e as diretrizes estabelecidas”;</w:t>
      </w:r>
      <w:bookmarkStart w:id="1" w:name="_GoBack1"/>
      <w:bookmarkEnd w:id="1"/>
    </w:p>
    <w:p>
      <w:pPr>
        <w:pStyle w:val="Normal"/>
        <w:rPr>
          <w:rFonts w:eastAsia="Verdana"/>
          <w:sz w:val="22"/>
          <w:szCs w:val="22"/>
        </w:rPr>
      </w:pPr>
      <w:r>
        <w:rPr>
          <w:rFonts w:eastAsia="Verdana"/>
          <w:sz w:val="22"/>
          <w:szCs w:val="22"/>
        </w:rPr>
      </w:r>
    </w:p>
    <w:p>
      <w:pPr>
        <w:pStyle w:val="Normal"/>
        <w:rPr>
          <w:sz w:val="22"/>
          <w:szCs w:val="22"/>
        </w:rPr>
      </w:pPr>
      <w:r>
        <w:rPr>
          <w:rFonts w:eastAsia="Verdana"/>
          <w:sz w:val="22"/>
          <w:szCs w:val="22"/>
        </w:rPr>
        <w:t xml:space="preserve">Considerando </w:t>
      </w:r>
      <w:r>
        <w:rPr>
          <w:color w:val="000000"/>
          <w:sz w:val="22"/>
          <w:szCs w:val="22"/>
          <w:shd w:fill="FFFFFF" w:val="clear"/>
        </w:rPr>
        <w:t xml:space="preserve">a DPOBR n° 0084-03/2018, de 22 de novembro de 2018, que alterou as Diretrizes para Elaboração do Plano de Ação e Orçamento – exercício 2019 e dispôs sobre a utilização do superávit financeiro pelo CAU/BR e pelos CAU/UF; </w:t>
      </w:r>
    </w:p>
    <w:p>
      <w:pPr>
        <w:pStyle w:val="Normal"/>
        <w:rPr>
          <w:color w:val="000000"/>
          <w:sz w:val="22"/>
          <w:szCs w:val="22"/>
          <w:highlight w:val="white"/>
        </w:rPr>
      </w:pPr>
      <w:r>
        <w:rPr>
          <w:color w:val="000000"/>
          <w:sz w:val="22"/>
          <w:szCs w:val="22"/>
          <w:shd w:fill="FFFFFF" w:val="clear"/>
        </w:rPr>
      </w:r>
    </w:p>
    <w:p>
      <w:pPr>
        <w:pStyle w:val="Normal"/>
        <w:ind w:right="227" w:hanging="0"/>
        <w:rPr>
          <w:sz w:val="22"/>
          <w:szCs w:val="22"/>
        </w:rPr>
      </w:pPr>
      <w:r>
        <w:rPr>
          <w:rFonts w:eastAsia="Verdana" w:cs="Times New Roman"/>
          <w:b w:val="false"/>
          <w:bCs w:val="false"/>
          <w:color w:val="000000"/>
          <w:sz w:val="22"/>
          <w:szCs w:val="22"/>
          <w:shd w:fill="FFFFFF" w:val="clear"/>
          <w:lang w:val="pt-BR"/>
        </w:rPr>
        <w:t xml:space="preserve">Considerando a proposta de </w:t>
      </w:r>
      <w:r>
        <w:rPr>
          <w:rFonts w:eastAsia="Verdana" w:cs="Times New Roman"/>
          <w:b w:val="false"/>
          <w:bCs/>
          <w:color w:val="000000"/>
          <w:sz w:val="22"/>
          <w:szCs w:val="22"/>
          <w:lang w:val="pt-BR"/>
        </w:rPr>
        <w:t xml:space="preserve">projeto específico “BRASÍLIA 60 ANOS”, com a utilização de </w:t>
      </w:r>
      <w:r>
        <w:rPr>
          <w:rFonts w:eastAsia="Verdana" w:cs="Times New Roman"/>
          <w:b w:val="false"/>
          <w:bCs/>
          <w:i/>
          <w:color w:val="000000"/>
          <w:sz w:val="22"/>
          <w:szCs w:val="22"/>
          <w:lang w:val="pt-BR"/>
        </w:rPr>
        <w:t>superávit</w:t>
      </w:r>
      <w:r>
        <w:rPr>
          <w:rFonts w:eastAsia="Verdana" w:cs="Times New Roman"/>
          <w:b w:val="false"/>
          <w:bCs/>
          <w:color w:val="000000"/>
          <w:sz w:val="22"/>
          <w:szCs w:val="22"/>
          <w:lang w:val="pt-BR"/>
        </w:rPr>
        <w:t xml:space="preserve"> financeiro</w:t>
      </w:r>
      <w:r>
        <w:rPr>
          <w:rFonts w:eastAsia="Verdana" w:cs="Times New Roman"/>
          <w:b w:val="false"/>
          <w:bCs w:val="false"/>
          <w:color w:val="000000"/>
          <w:sz w:val="22"/>
          <w:szCs w:val="22"/>
          <w:shd w:fill="FFFFFF" w:val="clear"/>
          <w:lang w:val="pt-BR"/>
        </w:rPr>
        <w:t xml:space="preserve"> na </w:t>
      </w:r>
      <w:r>
        <w:rPr>
          <w:rFonts w:eastAsia="Verdana" w:cs="Times New Roman"/>
          <w:b w:val="false"/>
          <w:bCs/>
          <w:color w:val="000000"/>
          <w:sz w:val="22"/>
          <w:szCs w:val="22"/>
          <w:lang w:val="pt-BR"/>
        </w:rPr>
        <w:t xml:space="preserve">Reprogramação Extraordinária 2020; </w:t>
      </w:r>
      <w:r>
        <w:rPr>
          <w:rFonts w:eastAsia="Verdana" w:cs="Times New Roman"/>
          <w:b w:val="false"/>
          <w:bCs/>
          <w:color w:val="000000"/>
          <w:sz w:val="22"/>
          <w:szCs w:val="22"/>
          <w:lang w:val="pt-BR"/>
        </w:rPr>
        <w:t>e</w:t>
      </w:r>
    </w:p>
    <w:p>
      <w:pPr>
        <w:pStyle w:val="Normal"/>
        <w:ind w:right="227" w:hanging="0"/>
        <w:rPr>
          <w:rFonts w:eastAsia="Verdana" w:cs="Times New Roman"/>
          <w:b w:val="false"/>
          <w:b w:val="false"/>
          <w:bCs/>
          <w:color w:val="000000"/>
          <w:lang w:val="pt-BR"/>
        </w:rPr>
      </w:pPr>
      <w:r>
        <w:rPr>
          <w:sz w:val="22"/>
          <w:szCs w:val="22"/>
        </w:rPr>
      </w:r>
    </w:p>
    <w:p>
      <w:pPr>
        <w:pStyle w:val="Normal"/>
        <w:ind w:right="227" w:hanging="0"/>
        <w:rPr>
          <w:sz w:val="22"/>
          <w:szCs w:val="22"/>
        </w:rPr>
      </w:pPr>
      <w:r>
        <w:rPr>
          <w:rFonts w:eastAsia="Verdana" w:cs="Times New Roman"/>
          <w:b w:val="false"/>
          <w:bCs/>
          <w:color w:val="000000"/>
          <w:sz w:val="22"/>
          <w:szCs w:val="22"/>
          <w:lang w:val="pt-BR"/>
        </w:rPr>
        <w:t>C</w:t>
      </w:r>
      <w:r>
        <w:rPr>
          <w:rFonts w:eastAsia="Verdana" w:cs="Times New Roman"/>
          <w:b w:val="false"/>
          <w:bCs/>
          <w:color w:val="000000"/>
          <w:sz w:val="22"/>
          <w:szCs w:val="22"/>
          <w:lang w:val="pt-BR"/>
        </w:rPr>
        <w:t xml:space="preserve">onsiderando a proposta de </w:t>
      </w:r>
      <w:r>
        <w:rPr>
          <w:rFonts w:eastAsia="Verdana" w:cs="Times New Roman"/>
          <w:b w:val="false"/>
          <w:bCs/>
          <w:color w:val="auto"/>
          <w:kern w:val="0"/>
          <w:sz w:val="22"/>
          <w:szCs w:val="22"/>
          <w:lang w:val="pt-BR" w:eastAsia="pt-BR" w:bidi="ar-SA"/>
        </w:rPr>
        <w:t xml:space="preserve">redução dos valores do projeto especial para utilização de </w:t>
      </w:r>
      <w:r>
        <w:rPr>
          <w:rFonts w:eastAsia="Verdana" w:cs="Times New Roman"/>
          <w:b w:val="false"/>
          <w:bCs/>
          <w:i/>
          <w:iCs/>
          <w:color w:val="auto"/>
          <w:kern w:val="0"/>
          <w:sz w:val="22"/>
          <w:szCs w:val="22"/>
          <w:lang w:val="pt-BR" w:eastAsia="pt-BR" w:bidi="ar-SA"/>
        </w:rPr>
        <w:t>superávit.</w:t>
      </w:r>
    </w:p>
    <w:p>
      <w:pPr>
        <w:pStyle w:val="Normal"/>
        <w:ind w:right="227" w:hanging="0"/>
        <w:rPr>
          <w:rFonts w:eastAsia="Verdana" w:cs="Times New Roman"/>
          <w:b w:val="false"/>
          <w:b w:val="false"/>
          <w:bCs/>
          <w:color w:val="000000"/>
          <w:lang w:val="pt-BR"/>
        </w:rPr>
      </w:pPr>
      <w:r>
        <w:rPr>
          <w:sz w:val="22"/>
          <w:szCs w:val="22"/>
        </w:rPr>
      </w:r>
    </w:p>
    <w:p>
      <w:pPr>
        <w:pStyle w:val="Normal"/>
        <w:rPr>
          <w:b/>
          <w:b/>
        </w:rPr>
      </w:pPr>
      <w:r>
        <w:rPr>
          <w:sz w:val="22"/>
          <w:szCs w:val="22"/>
        </w:rPr>
      </w:r>
    </w:p>
    <w:p>
      <w:pPr>
        <w:pStyle w:val="Normal"/>
        <w:rPr>
          <w:sz w:val="22"/>
          <w:szCs w:val="22"/>
        </w:rPr>
      </w:pPr>
      <w:r>
        <w:rPr>
          <w:b/>
          <w:sz w:val="22"/>
          <w:szCs w:val="22"/>
        </w:rPr>
        <w:t>DELIBEROU:</w:t>
      </w:r>
    </w:p>
    <w:p>
      <w:pPr>
        <w:pStyle w:val="Normal"/>
        <w:rPr>
          <w:sz w:val="22"/>
          <w:szCs w:val="22"/>
        </w:rPr>
      </w:pPr>
      <w:r>
        <w:rPr>
          <w:sz w:val="22"/>
          <w:szCs w:val="22"/>
        </w:rPr>
      </w:r>
    </w:p>
    <w:p>
      <w:pPr>
        <w:pStyle w:val="Normal"/>
        <w:rPr>
          <w:sz w:val="22"/>
          <w:szCs w:val="22"/>
        </w:rPr>
      </w:pPr>
      <w:r>
        <w:rPr>
          <w:rFonts w:eastAsia="Verdana"/>
          <w:sz w:val="22"/>
          <w:szCs w:val="22"/>
        </w:rPr>
        <w:t xml:space="preserve">1 –  </w:t>
      </w:r>
      <w:r>
        <w:rPr>
          <w:rFonts w:eastAsia="Verdana" w:cs="Times New Roman"/>
          <w:b w:val="false"/>
          <w:bCs/>
          <w:sz w:val="22"/>
          <w:szCs w:val="22"/>
          <w:lang w:val="pt-BR"/>
        </w:rPr>
        <w:t xml:space="preserve">Por </w:t>
      </w:r>
      <w:r>
        <w:rPr>
          <w:rFonts w:eastAsia="Verdana" w:cs="Times New Roman"/>
          <w:b w:val="false"/>
          <w:bCs w:val="false"/>
          <w:sz w:val="22"/>
          <w:szCs w:val="22"/>
          <w:lang w:val="pt-BR"/>
        </w:rPr>
        <w:t xml:space="preserve">aprovar </w:t>
      </w:r>
      <w:r>
        <w:rPr>
          <w:rFonts w:eastAsia="Verdana" w:cs="Times New Roman"/>
          <w:b w:val="false"/>
          <w:bCs w:val="false"/>
          <w:sz w:val="22"/>
          <w:szCs w:val="22"/>
          <w:lang w:val="pt-BR"/>
        </w:rPr>
        <w:t>a redução dos valores do</w:t>
      </w:r>
      <w:r>
        <w:rPr>
          <w:rFonts w:eastAsia="Verdana" w:cs="Times New Roman"/>
          <w:b w:val="false"/>
          <w:bCs/>
          <w:sz w:val="22"/>
          <w:szCs w:val="22"/>
          <w:lang w:val="pt-BR"/>
        </w:rPr>
        <w:t xml:space="preserve"> projeto específico com a utilização de </w:t>
      </w:r>
      <w:r>
        <w:rPr>
          <w:rFonts w:eastAsia="Verdana" w:cs="Times New Roman"/>
          <w:b w:val="false"/>
          <w:bCs/>
          <w:i/>
          <w:sz w:val="22"/>
          <w:szCs w:val="22"/>
          <w:lang w:val="pt-BR"/>
        </w:rPr>
        <w:t>superávit</w:t>
      </w:r>
      <w:r>
        <w:rPr>
          <w:rFonts w:eastAsia="Verdana" w:cs="Times New Roman"/>
          <w:b w:val="false"/>
          <w:bCs/>
          <w:sz w:val="22"/>
          <w:szCs w:val="22"/>
          <w:lang w:val="pt-BR"/>
        </w:rPr>
        <w:t xml:space="preserve"> financeiro na Reprogramação Extraordinária 2020, </w:t>
      </w:r>
      <w:r>
        <w:rPr>
          <w:rFonts w:eastAsia="Verdana" w:cs="Times New Roman"/>
          <w:b w:val="false"/>
          <w:bCs/>
          <w:sz w:val="22"/>
          <w:szCs w:val="22"/>
          <w:lang w:val="pt-BR"/>
        </w:rPr>
        <w:t>d</w:t>
      </w:r>
      <w:r>
        <w:rPr>
          <w:rFonts w:eastAsia="Verdana" w:cs="Times New Roman"/>
          <w:b w:val="false"/>
          <w:bCs/>
          <w:sz w:val="22"/>
          <w:szCs w:val="22"/>
          <w:lang w:val="pt-BR" w:eastAsia="pt-BR"/>
        </w:rPr>
        <w:t xml:space="preserve">e R$ 200 mil </w:t>
      </w:r>
      <w:r>
        <w:rPr>
          <w:rFonts w:eastAsia="Verdana" w:cs="Times New Roman"/>
          <w:b w:val="false"/>
          <w:bCs/>
          <w:sz w:val="22"/>
          <w:szCs w:val="22"/>
          <w:lang w:val="pt-BR" w:eastAsia="pt-BR"/>
        </w:rPr>
        <w:t>(duzentos mil reais)</w:t>
      </w:r>
      <w:r>
        <w:rPr>
          <w:rFonts w:eastAsia="Verdana" w:cs="Times New Roman"/>
          <w:b w:val="false"/>
          <w:bCs/>
          <w:sz w:val="22"/>
          <w:szCs w:val="22"/>
          <w:lang w:val="pt-BR" w:eastAsia="pt-BR"/>
        </w:rPr>
        <w:t xml:space="preserve"> para R$ 30 mil </w:t>
      </w:r>
      <w:r>
        <w:rPr>
          <w:rFonts w:eastAsia="Verdana" w:cs="Times New Roman"/>
          <w:b w:val="false"/>
          <w:bCs/>
          <w:sz w:val="22"/>
          <w:szCs w:val="22"/>
          <w:lang w:val="pt-BR" w:eastAsia="pt-BR"/>
        </w:rPr>
        <w:t xml:space="preserve">(trinta mil reais), </w:t>
      </w:r>
      <w:r>
        <w:rPr>
          <w:rFonts w:eastAsia="Verdana" w:cs="Times New Roman"/>
          <w:b w:val="false"/>
          <w:bCs/>
          <w:sz w:val="22"/>
          <w:szCs w:val="22"/>
          <w:lang w:val="pt-BR"/>
        </w:rPr>
        <w:t>com posterior encaminhamento ao Plenário do CAU/BR para homologação</w:t>
      </w:r>
    </w:p>
    <w:p>
      <w:pPr>
        <w:pStyle w:val="Normal"/>
        <w:rPr>
          <w:rFonts w:eastAsia="Verdana"/>
          <w:bCs/>
          <w:sz w:val="22"/>
          <w:szCs w:val="22"/>
        </w:rPr>
      </w:pPr>
      <w:r>
        <w:rPr>
          <w:rFonts w:eastAsia="Verdana"/>
          <w:bCs/>
          <w:sz w:val="22"/>
          <w:szCs w:val="22"/>
        </w:rPr>
      </w:r>
    </w:p>
    <w:p>
      <w:pPr>
        <w:pStyle w:val="Normal"/>
        <w:rPr>
          <w:rFonts w:eastAsia="Verdana"/>
        </w:rPr>
      </w:pPr>
      <w:r>
        <w:rPr>
          <w:rFonts w:eastAsia="Verdana"/>
          <w:bCs/>
          <w:sz w:val="22"/>
          <w:szCs w:val="22"/>
        </w:rPr>
        <w:t xml:space="preserve">2 </w:t>
      </w:r>
      <w:r>
        <w:rPr>
          <w:rFonts w:eastAsia="Verdana"/>
          <w:sz w:val="22"/>
          <w:szCs w:val="22"/>
        </w:rPr>
        <w:t>– Encaminhar esta deliberação para publicação no sítio eletrônico do CAU/DF.</w:t>
      </w:r>
    </w:p>
    <w:p>
      <w:pPr>
        <w:pStyle w:val="Cabealho"/>
        <w:rPr>
          <w:sz w:val="22"/>
          <w:szCs w:val="22"/>
        </w:rPr>
      </w:pPr>
      <w:r>
        <w:rPr>
          <w:sz w:val="22"/>
          <w:szCs w:val="22"/>
        </w:rPr>
      </w:r>
    </w:p>
    <w:p>
      <w:pPr>
        <w:pStyle w:val="Normal"/>
        <w:rPr>
          <w:rFonts w:eastAsia="Verdana"/>
        </w:rPr>
      </w:pPr>
      <w:r>
        <w:rPr>
          <w:rFonts w:eastAsia="Verdana"/>
          <w:sz w:val="22"/>
          <w:szCs w:val="22"/>
        </w:rPr>
        <w:t>Esta deliberação entra em vigor nesta data.</w:t>
      </w:r>
    </w:p>
    <w:p>
      <w:pPr>
        <w:pStyle w:val="Normal"/>
        <w:rPr>
          <w:rFonts w:eastAsia="Verdana"/>
          <w:sz w:val="22"/>
          <w:szCs w:val="22"/>
        </w:rPr>
      </w:pPr>
      <w:r>
        <w:rPr>
          <w:rFonts w:eastAsia="Verdana"/>
          <w:sz w:val="22"/>
          <w:szCs w:val="22"/>
        </w:rPr>
      </w:r>
    </w:p>
    <w:p>
      <w:pPr>
        <w:pStyle w:val="Normal"/>
        <w:rPr>
          <w:sz w:val="22"/>
          <w:szCs w:val="22"/>
          <w:lang w:eastAsia="pt-BR"/>
        </w:rPr>
      </w:pPr>
      <w:r>
        <w:rPr>
          <w:sz w:val="22"/>
          <w:szCs w:val="22"/>
          <w:lang w:eastAsia="pt-BR"/>
        </w:rPr>
      </w:r>
    </w:p>
    <w:p>
      <w:pPr>
        <w:pStyle w:val="Normal"/>
        <w:rPr>
          <w:sz w:val="22"/>
          <w:szCs w:val="22"/>
        </w:rPr>
      </w:pPr>
      <w:bookmarkStart w:id="2" w:name="__DdeLink__92_1147962079"/>
      <w:r>
        <w:rPr>
          <w:sz w:val="22"/>
          <w:szCs w:val="22"/>
          <w:lang w:eastAsia="pt-BR"/>
        </w:rPr>
        <w:t xml:space="preserve">Com </w:t>
      </w:r>
      <w:r>
        <w:rPr>
          <w:rFonts w:eastAsia="Calibri" w:cs="Times New Roman"/>
          <w:b/>
          <w:color w:val="auto"/>
          <w:kern w:val="0"/>
          <w:sz w:val="22"/>
          <w:szCs w:val="22"/>
          <w:lang w:val="pt-BR" w:eastAsia="pt-BR" w:bidi="ar-SA"/>
        </w:rPr>
        <w:t>10</w:t>
      </w:r>
      <w:r>
        <w:rPr>
          <w:b/>
          <w:bCs/>
          <w:sz w:val="22"/>
          <w:szCs w:val="22"/>
          <w:lang w:eastAsia="pt-BR"/>
        </w:rPr>
        <w:t xml:space="preserve"> votos favoráveis</w:t>
      </w:r>
      <w:r>
        <w:rPr>
          <w:sz w:val="22"/>
          <w:szCs w:val="22"/>
          <w:lang w:eastAsia="pt-BR"/>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Pr>
          <w:b/>
          <w:sz w:val="22"/>
          <w:szCs w:val="22"/>
          <w:lang w:eastAsia="pt-BR"/>
        </w:rPr>
        <w:t>00</w:t>
      </w:r>
      <w:r>
        <w:rPr>
          <w:sz w:val="22"/>
          <w:szCs w:val="22"/>
          <w:lang w:eastAsia="pt-BR"/>
        </w:rPr>
        <w:t xml:space="preserve"> ausência; </w:t>
      </w:r>
      <w:r>
        <w:rPr>
          <w:b/>
          <w:sz w:val="22"/>
          <w:szCs w:val="22"/>
          <w:lang w:eastAsia="pt-BR"/>
        </w:rPr>
        <w:t>00</w:t>
      </w:r>
      <w:r>
        <w:rPr>
          <w:sz w:val="22"/>
          <w:szCs w:val="22"/>
          <w:lang w:eastAsia="pt-BR"/>
        </w:rPr>
        <w:t xml:space="preserve"> voto contrário e </w:t>
      </w:r>
      <w:r>
        <w:rPr>
          <w:b/>
          <w:sz w:val="22"/>
          <w:szCs w:val="22"/>
          <w:lang w:eastAsia="pt-BR"/>
        </w:rPr>
        <w:t>00</w:t>
      </w:r>
      <w:r>
        <w:rPr>
          <w:sz w:val="22"/>
          <w:szCs w:val="22"/>
          <w:lang w:eastAsia="pt-BR"/>
        </w:rPr>
        <w:t xml:space="preserve"> abstenção.</w:t>
      </w:r>
      <w:bookmarkEnd w:id="2"/>
    </w:p>
    <w:p>
      <w:pPr>
        <w:pStyle w:val="Normal"/>
        <w:ind w:left="-142" w:hanging="0"/>
        <w:jc w:val="center"/>
        <w:rPr>
          <w:rFonts w:eastAsia="Verdana"/>
          <w:sz w:val="22"/>
          <w:szCs w:val="22"/>
        </w:rPr>
      </w:pPr>
      <w:r>
        <w:rPr>
          <w:rFonts w:eastAsia="Verdana"/>
          <w:sz w:val="22"/>
          <w:szCs w:val="22"/>
        </w:rPr>
      </w:r>
    </w:p>
    <w:p>
      <w:pPr>
        <w:pStyle w:val="Normal"/>
        <w:ind w:left="-142" w:hanging="0"/>
        <w:jc w:val="center"/>
        <w:rPr>
          <w:rFonts w:eastAsia="Verdana"/>
          <w:sz w:val="22"/>
          <w:szCs w:val="22"/>
        </w:rPr>
      </w:pPr>
      <w:r>
        <w:rPr>
          <w:rFonts w:eastAsia="Verdana"/>
          <w:sz w:val="22"/>
          <w:szCs w:val="22"/>
        </w:rPr>
      </w:r>
    </w:p>
    <w:p>
      <w:pPr>
        <w:pStyle w:val="Normal"/>
        <w:ind w:left="-142" w:hanging="0"/>
        <w:jc w:val="center"/>
        <w:rPr>
          <w:sz w:val="22"/>
          <w:szCs w:val="22"/>
        </w:rPr>
      </w:pPr>
      <w:r>
        <w:rPr>
          <w:rFonts w:eastAsia="Verdana"/>
          <w:sz w:val="22"/>
          <w:szCs w:val="22"/>
        </w:rPr>
        <w:t xml:space="preserve">Brasília - DF, </w:t>
      </w:r>
      <w:r>
        <w:rPr>
          <w:rFonts w:eastAsia="Verdana" w:cs="Times New Roman"/>
          <w:color w:val="auto"/>
          <w:kern w:val="0"/>
          <w:sz w:val="22"/>
          <w:szCs w:val="22"/>
          <w:lang w:val="pt-BR" w:eastAsia="en-US" w:bidi="ar-SA"/>
        </w:rPr>
        <w:t>2</w:t>
      </w:r>
      <w:r>
        <w:rPr>
          <w:rFonts w:eastAsia="Verdana"/>
          <w:sz w:val="22"/>
          <w:szCs w:val="22"/>
        </w:rPr>
        <w:t>7 de abril de 2020.</w:t>
      </w:r>
    </w:p>
    <w:p>
      <w:pPr>
        <w:pStyle w:val="Normal"/>
        <w:rPr>
          <w:rFonts w:eastAsia="Verdana"/>
          <w:sz w:val="22"/>
          <w:szCs w:val="22"/>
        </w:rPr>
      </w:pPr>
      <w:r>
        <w:rPr>
          <w:rFonts w:eastAsia="Verdana"/>
          <w:sz w:val="22"/>
          <w:szCs w:val="22"/>
        </w:rPr>
      </w:r>
    </w:p>
    <w:p>
      <w:pPr>
        <w:pStyle w:val="Normal"/>
        <w:rPr>
          <w:rFonts w:eastAsia="Verdana"/>
          <w:sz w:val="22"/>
          <w:szCs w:val="22"/>
        </w:rPr>
      </w:pPr>
      <w:r>
        <w:rPr>
          <w:rFonts w:eastAsia="Verdana"/>
          <w:sz w:val="22"/>
          <w:szCs w:val="22"/>
        </w:rPr>
      </w:r>
    </w:p>
    <w:p>
      <w:pPr>
        <w:pStyle w:val="Normal"/>
        <w:rPr>
          <w:rFonts w:eastAsia="Verdana"/>
          <w:sz w:val="22"/>
          <w:szCs w:val="22"/>
        </w:rPr>
      </w:pPr>
      <w:r>
        <w:rPr>
          <w:rFonts w:eastAsia="Verdana"/>
          <w:sz w:val="22"/>
          <w:szCs w:val="22"/>
        </w:rPr>
      </w:r>
    </w:p>
    <w:p>
      <w:pPr>
        <w:pStyle w:val="Normal"/>
        <w:rPr>
          <w:rFonts w:eastAsia="Verdana"/>
          <w:sz w:val="22"/>
          <w:szCs w:val="22"/>
        </w:rPr>
      </w:pPr>
      <w:r>
        <w:rPr>
          <w:rFonts w:eastAsia="Verdana"/>
          <w:sz w:val="22"/>
          <w:szCs w:val="22"/>
        </w:rPr>
      </w:r>
    </w:p>
    <w:p>
      <w:pPr>
        <w:pStyle w:val="Normal"/>
        <w:ind w:left="-142" w:hanging="0"/>
        <w:jc w:val="center"/>
        <w:rPr>
          <w:rFonts w:eastAsia="Verdana"/>
          <w:b/>
          <w:b/>
        </w:rPr>
      </w:pPr>
      <w:r>
        <w:rPr>
          <w:rFonts w:eastAsia="Verdana"/>
          <w:b/>
          <w:sz w:val="22"/>
          <w:szCs w:val="22"/>
        </w:rPr>
        <w:t xml:space="preserve">Daniel Mangabeira da Vinha </w:t>
      </w:r>
    </w:p>
    <w:p>
      <w:pPr>
        <w:pStyle w:val="Normal"/>
        <w:ind w:left="-142" w:hanging="0"/>
        <w:jc w:val="center"/>
        <w:rPr>
          <w:sz w:val="22"/>
          <w:szCs w:val="22"/>
        </w:rPr>
      </w:pPr>
      <w:r>
        <w:rPr>
          <w:rFonts w:eastAsia="Verdana"/>
          <w:sz w:val="22"/>
          <w:szCs w:val="22"/>
        </w:rPr>
        <w:t>Presidente do CAU/DF</w:t>
      </w:r>
    </w:p>
    <w:sectPr>
      <w:headerReference w:type="default" r:id="rId2"/>
      <w:footerReference w:type="default" r:id="rId3"/>
      <w:type w:val="nextPage"/>
      <w:pgSz w:w="11906" w:h="16838"/>
      <w:pgMar w:left="1701" w:right="1134" w:header="284" w:top="1701" w:footer="227"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Light">
    <w:charset w:val="00"/>
    <w:family w:val="roman"/>
    <w:pitch w:val="variable"/>
  </w:font>
  <w:font w:name="Cambria">
    <w:charset w:val="00"/>
    <w:family w:val="roman"/>
    <w:pitch w:val="variable"/>
  </w:font>
  <w:font w:name="Tahoma">
    <w:charset w:val="00"/>
    <w:family w:val="roman"/>
    <w:pitch w:val="variable"/>
  </w:font>
  <w:font w:name="Calibri">
    <w:charset w:val="00"/>
    <w:family w:val="roman"/>
    <w:pitch w:val="variable"/>
  </w:font>
  <w:font w:name="Liberation Sans">
    <w:altName w:val="Arial"/>
    <w:charset w:val="00"/>
    <w:family w:val="roman"/>
    <w:pitch w:val="variable"/>
  </w:font>
  <w:font w:name="Arial">
    <w:charset w:val="00"/>
    <w:family w:val="roman"/>
    <w:pitch w:val="variable"/>
  </w:font>
  <w:font w:name="DaxCondensed-Regular">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left="-1701" w:right="-851" w:hanging="0"/>
      <w:jc w:val="center"/>
      <w:rPr/>
    </w:pPr>
    <w:r>
      <mc:AlternateContent>
        <mc:Choice Requires="wps">
          <w:drawing>
            <wp:anchor behindDoc="1" distT="0" distB="0" distL="0" distR="0" simplePos="0" locked="0" layoutInCell="1" allowOverlap="1" relativeHeight="2" wp14:anchorId="233D3F2A">
              <wp:simplePos x="0" y="0"/>
              <wp:positionH relativeFrom="margin">
                <wp:posOffset>-3175</wp:posOffset>
              </wp:positionH>
              <wp:positionV relativeFrom="paragraph">
                <wp:posOffset>-13335</wp:posOffset>
              </wp:positionV>
              <wp:extent cx="5739130" cy="14605"/>
              <wp:effectExtent l="0" t="0" r="19050" b="28575"/>
              <wp:wrapNone/>
              <wp:docPr id="1" name="Conector reto 3"/>
              <a:graphic xmlns:a="http://schemas.openxmlformats.org/drawingml/2006/main">
                <a:graphicData uri="http://schemas.microsoft.com/office/word/2010/wordprocessingShape">
                  <wps:wsp>
                    <wps:cNvSpPr/>
                    <wps:spPr>
                      <a:xfrm flipV="1">
                        <a:off x="0" y="0"/>
                        <a:ext cx="5738400" cy="9000"/>
                      </a:xfrm>
                      <a:prstGeom prst="line">
                        <a:avLst/>
                      </a:prstGeom>
                      <a:ln w="19080">
                        <a:solidFill>
                          <a:srgbClr val="1c3942"/>
                        </a:solidFill>
                        <a:round/>
                      </a:ln>
                    </wps:spPr>
                    <wps:style>
                      <a:lnRef idx="0"/>
                      <a:fillRef idx="0"/>
                      <a:effectRef idx="0"/>
                      <a:fontRef idx="minor"/>
                    </wps:style>
                    <wps:bodyPr/>
                  </wps:wsp>
                </a:graphicData>
              </a:graphic>
            </wp:anchor>
          </w:drawing>
        </mc:Choice>
        <mc:Fallback>
          <w:pict>
            <v:line id="shape_0" from="-0.3pt,-1.45pt" to="451.5pt,-0.8pt" ID="Conector reto 3" stroked="t" style="position:absolute;flip:y;mso-position-horizontal-relative:margin" wp14:anchorId="233D3F2A">
              <v:stroke color="#1c3942" weight="19080" joinstyle="round" endcap="flat"/>
              <v:fill o:detectmouseclick="t" on="false"/>
            </v:line>
          </w:pict>
        </mc:Fallback>
      </mc:AlternateContent>
    </w:r>
    <w:r>
      <w:rPr>
        <w:rFonts w:ascii="DaxCondensed-Regular" w:hAnsi="DaxCondensed-Regular"/>
        <w:color w:val="1C3942"/>
        <w:sz w:val="16"/>
        <w:szCs w:val="16"/>
      </w:rPr>
      <w:t xml:space="preserve">Página </w:t>
    </w:r>
    <w:r>
      <w:rPr>
        <w:rFonts w:ascii="DaxCondensed-Regular" w:hAnsi="DaxCondensed-Regular"/>
        <w:sz w:val="16"/>
        <w:szCs w:val="16"/>
      </w:rPr>
      <w:fldChar w:fldCharType="begin"/>
    </w:r>
    <w:r>
      <w:rPr>
        <w:sz w:val="16"/>
        <w:szCs w:val="16"/>
        <w:rFonts w:ascii="DaxCondensed-Regular" w:hAnsi="DaxCondensed-Regular"/>
      </w:rPr>
      <w:instrText> PAGE </w:instrText>
    </w:r>
    <w:r>
      <w:rPr>
        <w:sz w:val="16"/>
        <w:szCs w:val="16"/>
        <w:rFonts w:ascii="DaxCondensed-Regular" w:hAnsi="DaxCondensed-Regular"/>
      </w:rPr>
      <w:fldChar w:fldCharType="separate"/>
    </w:r>
    <w:r>
      <w:rPr>
        <w:sz w:val="16"/>
        <w:szCs w:val="16"/>
        <w:rFonts w:ascii="DaxCondensed-Regular" w:hAnsi="DaxCondensed-Regular"/>
      </w:rPr>
      <w:t>1</w:t>
    </w:r>
    <w:r>
      <w:rPr>
        <w:sz w:val="16"/>
        <w:szCs w:val="16"/>
        <w:rFonts w:ascii="DaxCondensed-Regular" w:hAnsi="DaxCondensed-Regular"/>
      </w:rPr>
      <w:fldChar w:fldCharType="end"/>
    </w:r>
    <w:r>
      <w:rPr>
        <w:rFonts w:ascii="DaxCondensed-Regular" w:hAnsi="DaxCondensed-Regular"/>
        <w:color w:val="1C3942"/>
        <w:sz w:val="16"/>
        <w:szCs w:val="16"/>
      </w:rPr>
      <w:t xml:space="preserve"> de </w:t>
    </w:r>
    <w:r>
      <w:rPr>
        <w:rFonts w:ascii="DaxCondensed-Regular" w:hAnsi="DaxCondensed-Regular"/>
        <w:sz w:val="16"/>
        <w:szCs w:val="16"/>
      </w:rPr>
      <w:fldChar w:fldCharType="begin"/>
    </w:r>
    <w:r>
      <w:rPr>
        <w:sz w:val="16"/>
        <w:szCs w:val="16"/>
        <w:rFonts w:ascii="DaxCondensed-Regular" w:hAnsi="DaxCondensed-Regular"/>
      </w:rPr>
      <w:instrText> NUMPAGES </w:instrText>
    </w:r>
    <w:r>
      <w:rPr>
        <w:sz w:val="16"/>
        <w:szCs w:val="16"/>
        <w:rFonts w:ascii="DaxCondensed-Regular" w:hAnsi="DaxCondensed-Regular"/>
      </w:rPr>
      <w:fldChar w:fldCharType="separate"/>
    </w:r>
    <w:r>
      <w:rPr>
        <w:sz w:val="16"/>
        <w:szCs w:val="16"/>
        <w:rFonts w:ascii="DaxCondensed-Regular" w:hAnsi="DaxCondensed-Regular"/>
      </w:rPr>
      <w:t>1</w:t>
    </w:r>
    <w:r>
      <w:rPr>
        <w:sz w:val="16"/>
        <w:szCs w:val="16"/>
        <w:rFonts w:ascii="DaxCondensed-Regular" w:hAnsi="DaxCondensed-Regular"/>
      </w:rPr>
      <w:fldChar w:fldCharType="end"/>
    </w:r>
  </w:p>
  <w:p>
    <w:pPr>
      <w:pStyle w:val="Normal"/>
      <w:ind w:left="-1701" w:right="-851" w:hanging="0"/>
      <w:jc w:val="center"/>
      <w:rPr>
        <w:rFonts w:ascii="DaxCondensed-Regular" w:hAnsi="DaxCondensed-Regular"/>
        <w:color w:val="1C3942"/>
        <w:sz w:val="8"/>
        <w:szCs w:val="8"/>
      </w:rPr>
    </w:pPr>
    <w:r>
      <w:rPr>
        <w:rFonts w:ascii="DaxCondensed-Regular" w:hAnsi="DaxCondensed-Regular"/>
        <w:color w:val="1C3942"/>
        <w:sz w:val="8"/>
        <w:szCs w:val="8"/>
      </w:rPr>
    </w:r>
  </w:p>
  <w:p>
    <w:pPr>
      <w:pStyle w:val="Normal"/>
      <w:ind w:left="-1701" w:right="-7" w:firstLine="1701"/>
      <w:jc w:val="center"/>
      <w:rPr>
        <w:rFonts w:ascii="DaxCondensed-Regular" w:hAnsi="DaxCondensed-Regular"/>
        <w:color w:val="1C3942"/>
        <w:sz w:val="18"/>
        <w:szCs w:val="18"/>
      </w:rPr>
    </w:pPr>
    <w:r>
      <w:rPr>
        <w:rFonts w:ascii="DaxCondensed-Regular" w:hAnsi="DaxCondensed-Regular"/>
        <w:color w:val="1C3942"/>
        <w:sz w:val="18"/>
        <w:szCs w:val="18"/>
      </w:rPr>
      <w:t xml:space="preserve">SEPS 705/905, Bloco “A”, Salas 401 a 406, Centro Empresarial Santa Cruz - CEP 70.390-055 - Brasília (DF) </w:t>
    </w:r>
  </w:p>
  <w:p>
    <w:pPr>
      <w:pStyle w:val="Normal"/>
      <w:ind w:left="-1701" w:right="-7" w:firstLine="1701"/>
      <w:jc w:val="center"/>
      <w:rPr>
        <w:rFonts w:ascii="DaxCondensed-Regular" w:hAnsi="DaxCondensed-Regular"/>
        <w:color w:val="1C3942"/>
        <w:sz w:val="18"/>
        <w:szCs w:val="18"/>
      </w:rPr>
    </w:pPr>
    <w:r>
      <w:rPr>
        <w:rFonts w:ascii="DaxCondensed-Regular" w:hAnsi="DaxCondensed-Regular"/>
        <w:color w:val="1C3942"/>
        <w:sz w:val="18"/>
        <w:szCs w:val="18"/>
      </w:rPr>
      <w:t>(61) 3222-5176/3222-5179 | www.caudf.gov.br | atendimento@caudf.gov.br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ind w:left="-1701" w:right="-851" w:hanging="0"/>
      <w:jc w:val="left"/>
      <w:rPr/>
    </w:pPr>
    <w:r>
      <w:rPr/>
    </w:r>
  </w:p>
  <w:p>
    <w:pPr>
      <w:pStyle w:val="Rodap"/>
      <w:ind w:right="-851" w:hanging="0"/>
      <w:jc w:val="left"/>
      <w:rPr/>
    </w:pPr>
    <w:r>
      <w:rPr/>
    </w:r>
  </w:p>
  <w:p>
    <w:pPr>
      <w:pStyle w:val="Rodap"/>
      <w:ind w:right="-851" w:hanging="0"/>
      <w:jc w:val="left"/>
      <w:rPr>
        <w:rFonts w:ascii="Arial" w:hAnsi="Arial"/>
        <w:color w:val="1C3942"/>
        <w:sz w:val="22"/>
      </w:rPr>
    </w:pPr>
    <w:r>
      <w:rPr/>
      <w:object>
        <v:shape id="ole_rId1" style="width:453.3pt;height:42.55pt" o:ole="">
          <v:imagedata r:id="rId2" o:title=""/>
        </v:shape>
        <o:OLEObject Type="Embed" ProgID="CorelDraw.Graphic.16" ShapeID="ole_rId1" DrawAspect="Content" ObjectID="_147331624" r:id="rId1"/>
      </w:object>
    </w:r>
  </w:p>
</w:hdr>
</file>

<file path=word/settings.xml><?xml version="1.0" encoding="utf-8"?>
<w:settings xmlns:w="http://schemas.openxmlformats.org/wordprocessingml/2006/main">
  <w:zoom w:percent="12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lang w:val="pt-BR" w:eastAsia="pt-B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27adf"/>
    <w:pPr>
      <w:widowControl/>
      <w:bidi w:val="0"/>
      <w:jc w:val="both"/>
    </w:pPr>
    <w:rPr>
      <w:rFonts w:ascii="Times New Roman" w:hAnsi="Times New Roman" w:eastAsia="Calibri" w:cs="Times New Roman"/>
      <w:color w:val="auto"/>
      <w:kern w:val="0"/>
      <w:sz w:val="24"/>
      <w:szCs w:val="24"/>
      <w:lang w:val="pt-BR" w:eastAsia="en-US" w:bidi="ar-SA"/>
    </w:rPr>
  </w:style>
  <w:style w:type="paragraph" w:styleId="Ttulo1">
    <w:name w:val="Heading 1"/>
    <w:basedOn w:val="Normal"/>
    <w:next w:val="Normal"/>
    <w:link w:val="Ttulo1Char"/>
    <w:uiPriority w:val="9"/>
    <w:qFormat/>
    <w:rsid w:val="00155cc3"/>
    <w:pPr>
      <w:keepNext w:val="true"/>
      <w:keepLines/>
      <w:spacing w:before="240" w:after="0"/>
      <w:outlineLvl w:val="0"/>
    </w:pPr>
    <w:rPr>
      <w:rFonts w:ascii="Calibri Light" w:hAnsi="Calibri Light" w:eastAsia="Times New Roman"/>
      <w:color w:val="2E74B5"/>
      <w:sz w:val="32"/>
      <w:szCs w:val="32"/>
    </w:rPr>
  </w:style>
  <w:style w:type="paragraph" w:styleId="Ttulo2">
    <w:name w:val="Heading 2"/>
    <w:basedOn w:val="Normal"/>
    <w:next w:val="Normal"/>
    <w:link w:val="Ttulo2Char"/>
    <w:qFormat/>
    <w:rsid w:val="00727adf"/>
    <w:pPr>
      <w:keepNext w:val="true"/>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val="true"/>
      <w:keepLines/>
      <w:spacing w:before="40" w:after="0"/>
      <w:outlineLvl w:val="2"/>
    </w:pPr>
    <w:rPr>
      <w:rFonts w:ascii="Calibri Light" w:hAnsi="Calibri Light" w:eastAsia="Times New Roman"/>
      <w:color w:val="1F4D78"/>
    </w:rPr>
  </w:style>
  <w:style w:type="paragraph" w:styleId="Ttulo4">
    <w:name w:val="Heading 4"/>
    <w:basedOn w:val="Normal"/>
    <w:next w:val="Normal"/>
    <w:link w:val="Ttulo4Char"/>
    <w:uiPriority w:val="9"/>
    <w:unhideWhenUsed/>
    <w:qFormat/>
    <w:rsid w:val="00d714e1"/>
    <w:pPr>
      <w:keepNext w:val="true"/>
      <w:jc w:val="center"/>
      <w:outlineLvl w:val="3"/>
    </w:pPr>
    <w:rPr>
      <w:b/>
    </w:rPr>
  </w:style>
  <w:style w:type="character" w:styleId="DefaultParagraphFont" w:default="1">
    <w:name w:val="Default Paragraph Font"/>
    <w:uiPriority w:val="1"/>
    <w:semiHidden/>
    <w:unhideWhenUsed/>
    <w:qFormat/>
    <w:rPr/>
  </w:style>
  <w:style w:type="character" w:styleId="Ttulo2Char" w:customStyle="1">
    <w:name w:val="Título 2 Char"/>
    <w:link w:val="Ttulo2"/>
    <w:qFormat/>
    <w:rsid w:val="00727adf"/>
    <w:rPr>
      <w:rFonts w:ascii="Times New Roman" w:hAnsi="Times New Roman" w:eastAsia="Times New Roman" w:cs="Times New Roman"/>
      <w:b/>
      <w:sz w:val="24"/>
      <w:szCs w:val="20"/>
      <w:lang w:eastAsia="pt-BR"/>
    </w:rPr>
  </w:style>
  <w:style w:type="character" w:styleId="CabealhoChar" w:customStyle="1">
    <w:name w:val="Cabeçalho Char"/>
    <w:link w:val="Cabealho"/>
    <w:qFormat/>
    <w:rsid w:val="00727adf"/>
    <w:rPr>
      <w:rFonts w:ascii="Cambria" w:hAnsi="Cambria" w:eastAsia="MS Mincho" w:cs="Times New Roman"/>
      <w:sz w:val="24"/>
      <w:szCs w:val="24"/>
    </w:rPr>
  </w:style>
  <w:style w:type="character" w:styleId="RodapChar" w:customStyle="1">
    <w:name w:val="Rodapé Char"/>
    <w:link w:val="Rodap"/>
    <w:uiPriority w:val="99"/>
    <w:qFormat/>
    <w:rsid w:val="00727adf"/>
    <w:rPr>
      <w:rFonts w:ascii="Cambria" w:hAnsi="Cambria" w:eastAsia="MS Mincho" w:cs="Times New Roman"/>
      <w:sz w:val="24"/>
      <w:szCs w:val="24"/>
    </w:rPr>
  </w:style>
  <w:style w:type="character" w:styleId="RecuodecorpodetextoChar" w:customStyle="1">
    <w:name w:val="Recuo de corpo de texto Char"/>
    <w:link w:val="Recuodecorpodetexto"/>
    <w:qFormat/>
    <w:rsid w:val="00727adf"/>
    <w:rPr>
      <w:rFonts w:ascii="Times New Roman" w:hAnsi="Times New Roman" w:eastAsia="Times New Roman" w:cs="Times New Roman"/>
      <w:sz w:val="24"/>
      <w:szCs w:val="20"/>
      <w:lang w:eastAsia="pt-BR"/>
    </w:rPr>
  </w:style>
  <w:style w:type="character" w:styleId="CorpodetextoChar" w:customStyle="1">
    <w:name w:val="Corpo de texto Char"/>
    <w:link w:val="Corpodetexto"/>
    <w:qFormat/>
    <w:rsid w:val="00727adf"/>
    <w:rPr>
      <w:rFonts w:ascii="Times New Roman" w:hAnsi="Times New Roman" w:eastAsia="Times New Roman" w:cs="Times New Roman"/>
      <w:sz w:val="24"/>
      <w:szCs w:val="20"/>
      <w:lang w:eastAsia="pt-BR"/>
    </w:rPr>
  </w:style>
  <w:style w:type="character" w:styleId="Corpodetexto2Char" w:customStyle="1">
    <w:name w:val="Corpo de texto 2 Char"/>
    <w:link w:val="Corpodetexto2"/>
    <w:uiPriority w:val="99"/>
    <w:qFormat/>
    <w:rsid w:val="00b00899"/>
    <w:rPr>
      <w:rFonts w:ascii="Times New Roman" w:hAnsi="Times New Roman" w:eastAsia="MS Mincho" w:cs="Times New Roman"/>
      <w:sz w:val="28"/>
      <w:szCs w:val="28"/>
    </w:rPr>
  </w:style>
  <w:style w:type="character" w:styleId="Ttulo1Char" w:customStyle="1">
    <w:name w:val="Título 1 Char"/>
    <w:link w:val="Ttulo1"/>
    <w:uiPriority w:val="9"/>
    <w:qFormat/>
    <w:rsid w:val="00155cc3"/>
    <w:rPr>
      <w:rFonts w:ascii="Calibri Light" w:hAnsi="Calibri Light" w:eastAsia="Times New Roman" w:cs="Times New Roman"/>
      <w:color w:val="2E74B5"/>
      <w:sz w:val="32"/>
      <w:szCs w:val="32"/>
    </w:rPr>
  </w:style>
  <w:style w:type="character" w:styleId="Ttulo3Char" w:customStyle="1">
    <w:name w:val="Título 3 Char"/>
    <w:link w:val="Ttulo3"/>
    <w:uiPriority w:val="9"/>
    <w:semiHidden/>
    <w:qFormat/>
    <w:rsid w:val="00155cc3"/>
    <w:rPr>
      <w:rFonts w:ascii="Calibri Light" w:hAnsi="Calibri Light" w:eastAsia="Times New Roman" w:cs="Times New Roman"/>
      <w:color w:val="1F4D78"/>
      <w:sz w:val="24"/>
      <w:szCs w:val="24"/>
    </w:rPr>
  </w:style>
  <w:style w:type="character" w:styleId="Ttulo4Char" w:customStyle="1">
    <w:name w:val="Título 4 Char"/>
    <w:link w:val="Ttulo4"/>
    <w:uiPriority w:val="9"/>
    <w:qFormat/>
    <w:rsid w:val="00d714e1"/>
    <w:rPr>
      <w:rFonts w:ascii="Times New Roman" w:hAnsi="Times New Roman" w:eastAsia="MS Mincho" w:cs="Times New Roman"/>
      <w:b/>
      <w:sz w:val="24"/>
      <w:szCs w:val="24"/>
    </w:rPr>
  </w:style>
  <w:style w:type="character" w:styleId="TextodebaloChar" w:customStyle="1">
    <w:name w:val="Texto de balão Char"/>
    <w:link w:val="Textodebalo"/>
    <w:uiPriority w:val="99"/>
    <w:semiHidden/>
    <w:qFormat/>
    <w:rsid w:val="00b13e1b"/>
    <w:rPr>
      <w:rFonts w:ascii="Tahoma" w:hAnsi="Tahoma" w:cs="Tahoma"/>
      <w:sz w:val="16"/>
      <w:szCs w:val="16"/>
    </w:rPr>
  </w:style>
  <w:style w:type="character" w:styleId="Recuodecorpodetexto2Char" w:customStyle="1">
    <w:name w:val="Recuo de corpo de texto 2 Char"/>
    <w:link w:val="Recuodecorpodetexto2"/>
    <w:uiPriority w:val="99"/>
    <w:qFormat/>
    <w:rsid w:val="00fd05a6"/>
    <w:rPr>
      <w:rFonts w:ascii="Calibri" w:hAnsi="Calibri"/>
      <w:sz w:val="24"/>
      <w:szCs w:val="24"/>
      <w:lang w:eastAsia="en-US"/>
    </w:rPr>
  </w:style>
  <w:style w:type="character" w:styleId="Appleconvertedspace" w:customStyle="1">
    <w:name w:val="apple-converted-space"/>
    <w:qFormat/>
    <w:rsid w:val="00407584"/>
    <w:rPr/>
  </w:style>
  <w:style w:type="character" w:styleId="LinkdaInternet">
    <w:name w:val="Link da Internet"/>
    <w:uiPriority w:val="99"/>
    <w:unhideWhenUsed/>
    <w:rsid w:val="00407584"/>
    <w:rPr>
      <w:color w:val="0000FF"/>
      <w:u w:val="single"/>
    </w:rPr>
  </w:style>
  <w:style w:type="character" w:styleId="Corpodetexto3Char" w:customStyle="1">
    <w:name w:val="Corpo de texto 3 Char"/>
    <w:link w:val="Corpodetexto3"/>
    <w:uiPriority w:val="99"/>
    <w:qFormat/>
    <w:rsid w:val="005542f6"/>
    <w:rPr>
      <w:rFonts w:ascii="Calibri" w:hAnsi="Calibri" w:cs="Arial"/>
      <w:color w:val="1F1A17"/>
      <w:sz w:val="24"/>
      <w:szCs w:val="24"/>
    </w:rPr>
  </w:style>
  <w:style w:type="character" w:styleId="Parag2Char" w:customStyle="1">
    <w:name w:val="parag2 Char"/>
    <w:link w:val="parag2"/>
    <w:qFormat/>
    <w:rsid w:val="00a22ca8"/>
    <w:rPr>
      <w:rFonts w:eastAsia="Times New Roman"/>
      <w:sz w:val="24"/>
      <w:szCs w:val="24"/>
    </w:rPr>
  </w:style>
  <w:style w:type="character" w:styleId="TtuloChar" w:customStyle="1">
    <w:name w:val="Título Char"/>
    <w:link w:val="Ttulo"/>
    <w:uiPriority w:val="10"/>
    <w:qFormat/>
    <w:rsid w:val="00ab01db"/>
    <w:rPr>
      <w:rFonts w:eastAsia="Times New Roman"/>
      <w:b/>
      <w:sz w:val="24"/>
      <w:szCs w:val="24"/>
      <w:lang w:eastAsia="en-US"/>
    </w:rPr>
  </w:style>
  <w:style w:type="character" w:styleId="CabealhodamensagemChar" w:customStyle="1">
    <w:name w:val="Cabeçalho da mensagem Char"/>
    <w:link w:val="Cabealhodamensagem"/>
    <w:uiPriority w:val="99"/>
    <w:semiHidden/>
    <w:qFormat/>
    <w:rsid w:val="009c0f42"/>
    <w:rPr>
      <w:rFonts w:ascii="Calibri Light" w:hAnsi="Calibri Light" w:eastAsia="Times New Roman" w:cs="Times New Roman"/>
      <w:sz w:val="24"/>
      <w:szCs w:val="24"/>
      <w:shd w:fill="CCCCCC" w:val="clear"/>
      <w:lang w:eastAsia="en-US"/>
    </w:rPr>
  </w:style>
  <w:style w:type="character" w:styleId="Strong">
    <w:name w:val="Strong"/>
    <w:basedOn w:val="DefaultParagraphFont"/>
    <w:uiPriority w:val="22"/>
    <w:qFormat/>
    <w:rsid w:val="001412f5"/>
    <w:rPr>
      <w:b/>
      <w:bCs/>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link w:val="CorpodetextoChar"/>
    <w:rsid w:val="00727adf"/>
    <w:pPr/>
    <w:rPr>
      <w:rFonts w:eastAsia="Times New Roman"/>
      <w:szCs w:val="20"/>
      <w:lang w:eastAsia="pt-B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abealhoeRodap">
    <w:name w:val="Cabeçalho e Rodapé"/>
    <w:basedOn w:val="Normal"/>
    <w:qFormat/>
    <w:pPr/>
    <w:rPr/>
  </w:style>
  <w:style w:type="paragraph" w:styleId="Cabealho">
    <w:name w:val="Header"/>
    <w:basedOn w:val="Normal"/>
    <w:link w:val="CabealhoChar"/>
    <w:unhideWhenUsed/>
    <w:rsid w:val="00727adf"/>
    <w:pPr>
      <w:tabs>
        <w:tab w:val="clear" w:pos="708"/>
        <w:tab w:val="center" w:pos="4320" w:leader="none"/>
        <w:tab w:val="right" w:pos="8640" w:leader="none"/>
      </w:tabs>
    </w:pPr>
    <w:rPr/>
  </w:style>
  <w:style w:type="paragraph" w:styleId="Rodap">
    <w:name w:val="Footer"/>
    <w:basedOn w:val="Normal"/>
    <w:link w:val="RodapChar"/>
    <w:uiPriority w:val="99"/>
    <w:unhideWhenUsed/>
    <w:rsid w:val="00727adf"/>
    <w:pPr>
      <w:tabs>
        <w:tab w:val="clear" w:pos="708"/>
        <w:tab w:val="center" w:pos="4320" w:leader="none"/>
        <w:tab w:val="right" w:pos="8640" w:leader="none"/>
      </w:tabs>
    </w:pPr>
    <w:rPr/>
  </w:style>
  <w:style w:type="paragraph" w:styleId="ListParagraph">
    <w:name w:val="List Paragraph"/>
    <w:basedOn w:val="Normal"/>
    <w:uiPriority w:val="34"/>
    <w:qFormat/>
    <w:rsid w:val="00727adf"/>
    <w:pPr>
      <w:spacing w:before="0" w:after="0"/>
      <w:ind w:left="720" w:hanging="0"/>
      <w:contextualSpacing/>
    </w:pPr>
    <w:rPr/>
  </w:style>
  <w:style w:type="paragraph" w:styleId="Corpodotextorecuado">
    <w:name w:val="Body Text Indent"/>
    <w:basedOn w:val="Normal"/>
    <w:link w:val="RecuodecorpodetextoChar"/>
    <w:rsid w:val="00727adf"/>
    <w:pPr>
      <w:ind w:left="720" w:hanging="0"/>
    </w:pPr>
    <w:rPr>
      <w:rFonts w:eastAsia="Times New Roman"/>
      <w:szCs w:val="20"/>
      <w:lang w:eastAsia="pt-BR"/>
    </w:rPr>
  </w:style>
  <w:style w:type="paragraph" w:styleId="BodyText2">
    <w:name w:val="Body Text 2"/>
    <w:basedOn w:val="Normal"/>
    <w:link w:val="Corpodetexto2Char"/>
    <w:uiPriority w:val="99"/>
    <w:unhideWhenUsed/>
    <w:qFormat/>
    <w:rsid w:val="00b00899"/>
    <w:pPr/>
    <w:rPr>
      <w:sz w:val="28"/>
      <w:szCs w:val="28"/>
    </w:rPr>
  </w:style>
  <w:style w:type="paragraph" w:styleId="BalloonText">
    <w:name w:val="Balloon Text"/>
    <w:basedOn w:val="Normal"/>
    <w:link w:val="TextodebaloChar"/>
    <w:uiPriority w:val="99"/>
    <w:semiHidden/>
    <w:unhideWhenUsed/>
    <w:qFormat/>
    <w:rsid w:val="00b13e1b"/>
    <w:pPr/>
    <w:rPr>
      <w:rFonts w:ascii="Tahoma" w:hAnsi="Tahoma" w:cs="Tahoma"/>
      <w:sz w:val="16"/>
      <w:szCs w:val="16"/>
    </w:rPr>
  </w:style>
  <w:style w:type="paragraph" w:styleId="BodyTextIndent2">
    <w:name w:val="Body Text Indent 2"/>
    <w:basedOn w:val="Normal"/>
    <w:link w:val="Recuodecorpodetexto2Char"/>
    <w:uiPriority w:val="99"/>
    <w:unhideWhenUsed/>
    <w:qFormat/>
    <w:rsid w:val="00fd05a6"/>
    <w:pPr>
      <w:ind w:left="3686" w:hanging="0"/>
    </w:pPr>
    <w:rPr>
      <w:rFonts w:ascii="Calibri" w:hAnsi="Calibri"/>
    </w:rPr>
  </w:style>
  <w:style w:type="paragraph" w:styleId="NormalWeb">
    <w:name w:val="Normal (Web)"/>
    <w:basedOn w:val="Normal"/>
    <w:uiPriority w:val="99"/>
    <w:unhideWhenUsed/>
    <w:qFormat/>
    <w:rsid w:val="00407584"/>
    <w:pPr>
      <w:spacing w:beforeAutospacing="1" w:afterAutospacing="1"/>
      <w:jc w:val="left"/>
    </w:pPr>
    <w:rPr>
      <w:rFonts w:eastAsia="Times New Roman"/>
      <w:lang w:eastAsia="pt-BR"/>
    </w:rPr>
  </w:style>
  <w:style w:type="paragraph" w:styleId="BodyText3">
    <w:name w:val="Body Text 3"/>
    <w:basedOn w:val="Normal"/>
    <w:link w:val="Corpodetexto3Char"/>
    <w:uiPriority w:val="99"/>
    <w:unhideWhenUsed/>
    <w:qFormat/>
    <w:rsid w:val="005542f6"/>
    <w:pPr/>
    <w:rPr>
      <w:rFonts w:ascii="Calibri" w:hAnsi="Calibri" w:cs="Arial"/>
      <w:color w:val="1F1A17"/>
      <w:lang w:eastAsia="pt-BR"/>
    </w:rPr>
  </w:style>
  <w:style w:type="paragraph" w:styleId="Parag2" w:customStyle="1">
    <w:name w:val="parag2"/>
    <w:basedOn w:val="Normal"/>
    <w:link w:val="parag2Char"/>
    <w:qFormat/>
    <w:rsid w:val="00a22ca8"/>
    <w:pPr>
      <w:spacing w:beforeAutospacing="1" w:afterAutospacing="1"/>
      <w:jc w:val="left"/>
    </w:pPr>
    <w:rPr>
      <w:rFonts w:eastAsia="Times New Roman"/>
      <w:lang w:eastAsia="pt-BR"/>
    </w:rPr>
  </w:style>
  <w:style w:type="paragraph" w:styleId="Ttulododocumento">
    <w:name w:val="Title"/>
    <w:basedOn w:val="Normal"/>
    <w:next w:val="Normal"/>
    <w:link w:val="TtuloChar"/>
    <w:uiPriority w:val="10"/>
    <w:qFormat/>
    <w:rsid w:val="00ab01db"/>
    <w:pPr>
      <w:jc w:val="center"/>
    </w:pPr>
    <w:rPr>
      <w:rFonts w:eastAsia="Times New Roman"/>
      <w:b/>
    </w:rPr>
  </w:style>
  <w:style w:type="paragraph" w:styleId="Cabedamensagemantes" w:customStyle="1">
    <w:name w:val="Cabeç. da mensagem antes"/>
    <w:basedOn w:val="MessageHeader"/>
    <w:next w:val="MessageHeader"/>
    <w:qFormat/>
    <w:rsid w:val="009c0f42"/>
    <w:pPr>
      <w:keepLines/>
      <w:pBdr>
        <w:top w:val="nil"/>
        <w:left w:val="nil"/>
        <w:bottom w:val="nil"/>
        <w:right w:val="nil"/>
      </w:pBdr>
      <w:shd w:val="clear" w:color="auto" w:fill="auto"/>
      <w:tabs>
        <w:tab w:val="clear" w:pos="708"/>
        <w:tab w:val="left" w:pos="1560" w:leader="none"/>
      </w:tabs>
      <w:spacing w:lineRule="atLeast" w:line="415"/>
      <w:ind w:left="1560" w:right="-360" w:hanging="720"/>
      <w:jc w:val="left"/>
    </w:pPr>
    <w:rPr>
      <w:rFonts w:ascii="Times New Roman" w:hAnsi="Times New Roman"/>
      <w:sz w:val="20"/>
      <w:szCs w:val="20"/>
      <w:lang w:eastAsia="pt-BR"/>
    </w:rPr>
  </w:style>
  <w:style w:type="paragraph" w:styleId="MessageHeader">
    <w:name w:val="Message Header"/>
    <w:basedOn w:val="Normal"/>
    <w:link w:val="CabealhodamensagemChar"/>
    <w:uiPriority w:val="99"/>
    <w:semiHidden/>
    <w:unhideWhenUsed/>
    <w:qFormat/>
    <w:rsid w:val="009c0f42"/>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hAnsi="Calibri Light" w:eastAsia="Times New Roman"/>
    </w:rPr>
  </w:style>
  <w:style w:type="paragraph" w:styleId="PargrafodaLista1" w:customStyle="1">
    <w:name w:val="Parágrafo da Lista1"/>
    <w:basedOn w:val="Normal"/>
    <w:qFormat/>
    <w:rsid w:val="00190bf9"/>
    <w:pPr>
      <w:suppressAutoHyphens w:val="true"/>
      <w:spacing w:before="0" w:after="0"/>
      <w:ind w:left="720" w:hanging="0"/>
      <w:contextualSpacing/>
    </w:pPr>
    <w:rPr/>
  </w:style>
  <w:style w:type="paragraph" w:styleId="Estilo" w:customStyle="1">
    <w:name w:val="Estilo"/>
    <w:qFormat/>
    <w:rsid w:val="00f115f7"/>
    <w:pPr>
      <w:widowControl w:val="false"/>
      <w:suppressAutoHyphens w:val="true"/>
      <w:bidi w:val="0"/>
      <w:jc w:val="left"/>
    </w:pPr>
    <w:rPr>
      <w:rFonts w:ascii="Arial" w:hAnsi="Arial" w:eastAsia="Times New Roman" w:cs="Arial"/>
      <w:color w:val="auto"/>
      <w:kern w:val="0"/>
      <w:sz w:val="24"/>
      <w:szCs w:val="24"/>
      <w:lang w:val="pt-BR" w:eastAsia="zh-CN"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rsid w:val="006c4650"/>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1.wmf"/>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800BD-CCF1-43D6-9312-4A74AC0AA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Application>LibreOffice/6.3.3.2$Windows_X86_64 LibreOffice_project/a64200df03143b798afd1ec74a12ab50359878ed</Application>
  <Pages>1</Pages>
  <Words>369</Words>
  <Characters>2006</Characters>
  <CharactersWithSpaces>2363</CharactersWithSpaces>
  <Paragraphs>25</Paragraphs>
  <Company>CAU/DF</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2020-01-30T17:32:00Z</dcterms:created>
  <dc:creator>Anderson Viana</dc:creator>
  <dc:description/>
  <dc:language>pt-BR</dc:language>
  <cp:lastModifiedBy/>
  <cp:lastPrinted>2020-02-21T14:12:00Z</cp:lastPrinted>
  <dcterms:modified xsi:type="dcterms:W3CDTF">2020-04-28T16:15:43Z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CAU/DF</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