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2234"/>
        <w:gridCol w:w="6945"/>
      </w:tblGrid>
      <w:tr>
        <w:trPr/>
        <w:tc>
          <w:tcPr>
            <w:tcW w:w="2234" w:type="dxa"/>
            <w:tcBorders>
              <w:top w:val="single" w:sz="4" w:space="0" w:color="000000"/>
              <w:bottom w:val="single" w:sz="4" w:space="0" w:color="000000"/>
              <w:right w:val="single" w:sz="4" w:space="0" w:color="000000"/>
            </w:tcBorders>
            <w:shd w:color="auto" w:fill="F2F2F2" w:val="clear"/>
            <w:vAlign w:val="center"/>
          </w:tcPr>
          <w:p>
            <w:pPr>
              <w:pStyle w:val="Ttulo2"/>
              <w:rPr>
                <w:b w:val="false"/>
                <w:b w:val="false"/>
                <w:szCs w:val="24"/>
              </w:rPr>
            </w:pPr>
            <w:r>
              <w:rPr>
                <w:b w:val="false"/>
                <w:sz w:val="22"/>
                <w:szCs w:val="22"/>
              </w:rPr>
              <w:t>PROCESSO</w:t>
            </w:r>
          </w:p>
        </w:tc>
        <w:tc>
          <w:tcPr>
            <w:tcW w:w="6945" w:type="dxa"/>
            <w:tcBorders>
              <w:top w:val="single" w:sz="4" w:space="0" w:color="000000"/>
              <w:left w:val="single" w:sz="4" w:space="0" w:color="000000"/>
              <w:bottom w:val="single" w:sz="4" w:space="0" w:color="000000"/>
            </w:tcBorders>
            <w:shd w:fill="auto" w:val="clear"/>
          </w:tcPr>
          <w:p>
            <w:pPr>
              <w:pStyle w:val="Cabealho"/>
              <w:tabs>
                <w:tab w:val="clear" w:pos="4320"/>
                <w:tab w:val="clear" w:pos="8640"/>
                <w:tab w:val="left" w:pos="2780" w:leader="none"/>
              </w:tabs>
              <w:spacing w:lineRule="atLeast" w:line="240"/>
              <w:ind w:right="113" w:hanging="0"/>
              <w:rPr>
                <w:b w:val="false"/>
                <w:b w:val="false"/>
                <w:bCs w:val="false"/>
                <w:sz w:val="24"/>
                <w:szCs w:val="24"/>
              </w:rPr>
            </w:pPr>
            <w:r>
              <w:rPr>
                <w:b w:val="false"/>
                <w:bCs w:val="false"/>
                <w:sz w:val="24"/>
                <w:szCs w:val="24"/>
              </w:rPr>
            </w:r>
          </w:p>
        </w:tc>
      </w:tr>
      <w:tr>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b/>
                <w:b/>
              </w:rPr>
            </w:pPr>
            <w:r>
              <w:rPr>
                <w:sz w:val="22"/>
                <w:szCs w:val="22"/>
              </w:rPr>
              <w:t>INTERRESSADO</w:t>
            </w:r>
          </w:p>
        </w:tc>
        <w:tc>
          <w:tcPr>
            <w:tcW w:w="6945" w:type="dxa"/>
            <w:tcBorders>
              <w:top w:val="single" w:sz="4" w:space="0" w:color="000000"/>
              <w:left w:val="single" w:sz="4" w:space="0" w:color="000000"/>
              <w:bottom w:val="single" w:sz="4" w:space="0" w:color="000000"/>
            </w:tcBorders>
            <w:shd w:fill="auto" w:val="clear"/>
            <w:vAlign w:val="center"/>
          </w:tcPr>
          <w:p>
            <w:pPr>
              <w:pStyle w:val="Cabealho"/>
              <w:spacing w:lineRule="atLeast" w:line="240"/>
              <w:rPr>
                <w:rFonts w:eastAsia="Times New Roman"/>
                <w:bCs/>
                <w:lang w:eastAsia="pt-BR"/>
              </w:rPr>
            </w:pPr>
            <w:r>
              <w:rPr>
                <w:rFonts w:eastAsia="Times New Roman"/>
                <w:bCs/>
                <w:sz w:val="24"/>
                <w:szCs w:val="24"/>
                <w:lang w:eastAsia="pt-BR"/>
              </w:rPr>
              <w:t>CAU/DF</w:t>
            </w:r>
          </w:p>
        </w:tc>
      </w:tr>
      <w:tr>
        <w:trPr>
          <w:trHeight w:val="94" w:hRule="atLeast"/>
        </w:trPr>
        <w:tc>
          <w:tcPr>
            <w:tcW w:w="2234" w:type="dxa"/>
            <w:tcBorders>
              <w:top w:val="single" w:sz="4" w:space="0" w:color="000000"/>
              <w:bottom w:val="single" w:sz="4" w:space="0" w:color="000000"/>
              <w:right w:val="single" w:sz="4" w:space="0" w:color="000000"/>
            </w:tcBorders>
            <w:shd w:color="auto" w:fill="F2F2F2" w:val="clear"/>
            <w:vAlign w:val="center"/>
          </w:tcPr>
          <w:p>
            <w:pPr>
              <w:pStyle w:val="Cabealho"/>
              <w:spacing w:lineRule="atLeast" w:line="240"/>
              <w:rPr>
                <w:sz w:val="22"/>
                <w:szCs w:val="22"/>
              </w:rPr>
            </w:pPr>
            <w:r>
              <w:rPr>
                <w:sz w:val="22"/>
                <w:szCs w:val="22"/>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Estilo"/>
              <w:shd w:val="clear" w:color="auto" w:fill="FFFFFF"/>
              <w:spacing w:lineRule="exact" w:line="244" w:before="4" w:after="0"/>
              <w:jc w:val="both"/>
              <w:rPr>
                <w:sz w:val="24"/>
                <w:szCs w:val="24"/>
              </w:rPr>
            </w:pPr>
            <w:r>
              <w:rPr>
                <w:rFonts w:eastAsia="Times New Roman" w:cs="Times New Roman" w:ascii="Times New Roman" w:hAnsi="Times New Roman"/>
                <w:color w:val="222124"/>
                <w:sz w:val="24"/>
                <w:szCs w:val="24"/>
                <w:highlight w:val="white"/>
                <w:shd w:fill="FFFFFF" w:val="clear"/>
                <w:lang w:val="pt-BR" w:eastAsia="en-US"/>
              </w:rPr>
              <w:t>RECOMPOSIÇÃO DE COMISSÃO</w:t>
            </w:r>
          </w:p>
        </w:tc>
      </w:tr>
    </w:tbl>
    <w:p>
      <w:pPr>
        <w:pStyle w:val="Cabealho"/>
        <w:spacing w:lineRule="atLeast" w:line="240"/>
        <w:jc w:val="center"/>
        <w:rPr>
          <w:b/>
          <w:b/>
          <w:sz w:val="24"/>
          <w:szCs w:val="24"/>
        </w:rPr>
      </w:pPr>
      <w:r>
        <w:rPr>
          <w:b/>
          <w:sz w:val="24"/>
          <w:szCs w:val="24"/>
        </w:rPr>
      </w:r>
    </w:p>
    <w:tbl>
      <w:tblPr>
        <w:tblW w:w="9180" w:type="dxa"/>
        <w:jc w:val="left"/>
        <w:tblInd w:w="0" w:type="dxa"/>
        <w:tblCellMar>
          <w:top w:w="0" w:type="dxa"/>
          <w:left w:w="108" w:type="dxa"/>
          <w:bottom w:w="0" w:type="dxa"/>
          <w:right w:w="108" w:type="dxa"/>
        </w:tblCellMar>
        <w:tblLook w:firstRow="1" w:noVBand="1" w:lastRow="0" w:firstColumn="1" w:lastColumn="0" w:noHBand="0" w:val="04a0"/>
      </w:tblPr>
      <w:tblGrid>
        <w:gridCol w:w="9180"/>
      </w:tblGrid>
      <w:tr>
        <w:trPr/>
        <w:tc>
          <w:tcPr>
            <w:tcW w:w="9180" w:type="dxa"/>
            <w:tcBorders>
              <w:top w:val="single" w:sz="4" w:space="0" w:color="000000"/>
              <w:bottom w:val="single" w:sz="4" w:space="0" w:color="000000"/>
            </w:tcBorders>
            <w:shd w:color="auto" w:fill="F2F2F2" w:val="clear"/>
          </w:tcPr>
          <w:p>
            <w:pPr>
              <w:pStyle w:val="Cabealho"/>
              <w:spacing w:lineRule="atLeast" w:line="240"/>
              <w:jc w:val="center"/>
              <w:rPr>
                <w:sz w:val="24"/>
                <w:szCs w:val="24"/>
              </w:rPr>
            </w:pPr>
            <w:r>
              <w:rPr>
                <w:b/>
                <w:sz w:val="24"/>
                <w:szCs w:val="24"/>
              </w:rPr>
              <w:t>DELIBERAÇÃO PLENÁRIA DPODF Nº 03</w:t>
            </w:r>
            <w:r>
              <w:rPr>
                <w:rFonts w:eastAsia="Calibri" w:cs="Times New Roman"/>
                <w:b/>
                <w:color w:val="auto"/>
                <w:kern w:val="0"/>
                <w:sz w:val="24"/>
                <w:szCs w:val="24"/>
                <w:lang w:val="pt-BR" w:eastAsia="en-US" w:bidi="ar-SA"/>
              </w:rPr>
              <w:t>6</w:t>
            </w:r>
            <w:r>
              <w:rPr>
                <w:rFonts w:eastAsia="Calibri" w:cs="Times New Roman"/>
                <w:b/>
                <w:color w:val="auto"/>
                <w:kern w:val="0"/>
                <w:sz w:val="24"/>
                <w:szCs w:val="24"/>
                <w:lang w:val="pt-BR" w:eastAsia="en-US" w:bidi="ar-SA"/>
              </w:rPr>
              <w:t>1</w:t>
            </w:r>
            <w:r>
              <w:rPr>
                <w:b/>
                <w:sz w:val="24"/>
                <w:szCs w:val="24"/>
              </w:rPr>
              <w:t>/2020</w:t>
            </w:r>
          </w:p>
        </w:tc>
      </w:tr>
    </w:tbl>
    <w:p>
      <w:pPr>
        <w:pStyle w:val="Cabealho"/>
        <w:tabs>
          <w:tab w:val="center" w:pos="4320" w:leader="none"/>
          <w:tab w:val="left" w:pos="4962" w:leader="none"/>
          <w:tab w:val="right" w:pos="8640" w:leader="none"/>
        </w:tabs>
        <w:spacing w:lineRule="atLeast" w:line="240"/>
        <w:rPr>
          <w:sz w:val="24"/>
          <w:szCs w:val="24"/>
        </w:rPr>
      </w:pPr>
      <w:r>
        <w:rPr>
          <w:sz w:val="24"/>
          <w:szCs w:val="24"/>
        </w:rPr>
        <w:tab/>
        <w:tab/>
      </w:r>
    </w:p>
    <w:p>
      <w:pPr>
        <w:pStyle w:val="Cabealho"/>
        <w:spacing w:lineRule="atLeast" w:line="240"/>
        <w:ind w:left="5103" w:hanging="0"/>
        <w:rPr>
          <w:sz w:val="24"/>
          <w:szCs w:val="24"/>
        </w:rPr>
      </w:pPr>
      <w:r>
        <w:rPr>
          <w:rFonts w:eastAsia="Verdana" w:cs="Times New Roman"/>
          <w:bCs/>
          <w:color w:val="auto"/>
          <w:kern w:val="0"/>
          <w:sz w:val="24"/>
          <w:szCs w:val="24"/>
          <w:lang w:val="pt-BR" w:eastAsia="en-US" w:bidi="ar-SA"/>
        </w:rPr>
        <w:t xml:space="preserve">Aprova </w:t>
      </w:r>
      <w:r>
        <w:rPr>
          <w:rFonts w:eastAsia="Verdana" w:cs="Times New Roman"/>
          <w:bCs/>
          <w:color w:val="auto"/>
          <w:kern w:val="0"/>
          <w:sz w:val="24"/>
          <w:szCs w:val="24"/>
          <w:lang w:val="pt-BR" w:eastAsia="pt-BR" w:bidi="ar-SA"/>
        </w:rPr>
        <w:t>a recomposição da Comissão Temporária de Assistência Técnica e Política Urbana do CAU/DF</w:t>
      </w:r>
      <w:r>
        <w:rPr>
          <w:rFonts w:eastAsia="Verdana" w:cs="Times New Roman"/>
          <w:bCs/>
          <w:color w:val="auto"/>
          <w:kern w:val="0"/>
          <w:sz w:val="24"/>
          <w:szCs w:val="24"/>
          <w:lang w:val="pt-BR" w:eastAsia="en-US" w:bidi="ar-SA"/>
        </w:rPr>
        <w:t xml:space="preserve">. </w:t>
      </w:r>
      <w:bookmarkStart w:id="0" w:name="_GoBack"/>
      <w:bookmarkEnd w:id="0"/>
    </w:p>
    <w:p>
      <w:pPr>
        <w:pStyle w:val="Normal"/>
        <w:rPr>
          <w:rFonts w:eastAsia="Verdana"/>
          <w:sz w:val="24"/>
          <w:szCs w:val="24"/>
        </w:rPr>
      </w:pPr>
      <w:r>
        <w:rPr>
          <w:rFonts w:eastAsia="Verdana"/>
          <w:sz w:val="24"/>
          <w:szCs w:val="24"/>
        </w:rPr>
      </w:r>
    </w:p>
    <w:p>
      <w:pPr>
        <w:pStyle w:val="Normal"/>
        <w:rPr>
          <w:sz w:val="22"/>
          <w:szCs w:val="22"/>
        </w:rPr>
      </w:pPr>
      <w:r>
        <w:rPr>
          <w:rFonts w:eastAsia="Verdana"/>
          <w:sz w:val="24"/>
          <w:szCs w:val="24"/>
        </w:rPr>
        <w:t xml:space="preserve">O PLENÁRIO DO CONSELHO DE ARQUITETURA E URBANISMO DO DISTRITO FEDERAL - CAU/DF, no uso das competências que lhe confere a seção II, art. 29, do Regimento Interno do CAU/DF, e reunido ordinariamente </w:t>
      </w:r>
      <w:r>
        <w:rPr>
          <w:rFonts w:eastAsia="Verdana" w:cs="Times New Roman"/>
          <w:color w:val="auto"/>
          <w:kern w:val="0"/>
          <w:sz w:val="24"/>
          <w:szCs w:val="24"/>
          <w:lang w:val="pt-BR" w:eastAsia="en-US" w:bidi="ar-SA"/>
        </w:rPr>
        <w:t>por meio de videoconferência</w:t>
      </w:r>
      <w:r>
        <w:rPr>
          <w:rFonts w:eastAsia="Verdana"/>
          <w:sz w:val="24"/>
          <w:szCs w:val="24"/>
        </w:rPr>
        <w:t xml:space="preserve">, no dia </w:t>
      </w:r>
      <w:r>
        <w:rPr>
          <w:rFonts w:eastAsia="Verdana" w:cs="Times New Roman"/>
          <w:color w:val="auto"/>
          <w:kern w:val="0"/>
          <w:sz w:val="24"/>
          <w:szCs w:val="24"/>
          <w:lang w:val="pt-BR" w:eastAsia="en-US" w:bidi="ar-SA"/>
        </w:rPr>
        <w:t>2</w:t>
      </w:r>
      <w:r>
        <w:rPr>
          <w:rFonts w:eastAsia="Verdana"/>
          <w:sz w:val="24"/>
          <w:szCs w:val="24"/>
        </w:rPr>
        <w:t xml:space="preserve">7 de </w:t>
      </w:r>
      <w:r>
        <w:rPr>
          <w:rFonts w:eastAsia="Verdana" w:cs="Times New Roman"/>
          <w:color w:val="auto"/>
          <w:kern w:val="0"/>
          <w:sz w:val="24"/>
          <w:szCs w:val="24"/>
          <w:lang w:val="pt-BR" w:eastAsia="en-US" w:bidi="ar-SA"/>
        </w:rPr>
        <w:t>abril</w:t>
      </w:r>
      <w:r>
        <w:rPr>
          <w:rFonts w:eastAsia="Verdana"/>
          <w:sz w:val="24"/>
          <w:szCs w:val="24"/>
        </w:rPr>
        <w:t xml:space="preserve"> de 2020, após análise do assunto em epígrafe, e</w:t>
      </w:r>
    </w:p>
    <w:p>
      <w:pPr>
        <w:pStyle w:val="Normal"/>
        <w:rPr>
          <w:rFonts w:eastAsia="Verdana"/>
          <w:sz w:val="24"/>
          <w:szCs w:val="24"/>
        </w:rPr>
      </w:pPr>
      <w:r>
        <w:rPr>
          <w:rFonts w:eastAsia="Verdana"/>
          <w:sz w:val="24"/>
          <w:szCs w:val="24"/>
        </w:rPr>
      </w:r>
    </w:p>
    <w:p>
      <w:pPr>
        <w:pStyle w:val="Normal"/>
        <w:rPr>
          <w:sz w:val="24"/>
          <w:szCs w:val="24"/>
        </w:rPr>
      </w:pPr>
      <w:r>
        <w:rPr>
          <w:rFonts w:eastAsia="Verdana"/>
          <w:sz w:val="24"/>
          <w:szCs w:val="24"/>
        </w:rPr>
        <w:t xml:space="preserve">Considerando o art. 29, inciso </w:t>
      </w:r>
      <w:r>
        <w:rPr>
          <w:color w:val="000000"/>
          <w:sz w:val="24"/>
          <w:szCs w:val="24"/>
        </w:rPr>
        <w:t xml:space="preserve">XV, do Regimento Interno do CAU/DF, ao qual dispõe que é atribuição do Plenário do CAU/DF </w:t>
      </w:r>
      <w:r>
        <w:rPr>
          <w:i/>
          <w:color w:val="000000"/>
          <w:sz w:val="24"/>
          <w:szCs w:val="24"/>
        </w:rPr>
        <w:t xml:space="preserve">“apreciar e deliberar sobre instituição e composição de comissões temporárias, aprovando os seus objetivos, prazos e plano de ação e orçamento.”; </w:t>
      </w:r>
      <w:r>
        <w:rPr>
          <w:color w:val="000000"/>
          <w:sz w:val="24"/>
          <w:szCs w:val="24"/>
        </w:rPr>
        <w:t>e</w:t>
      </w:r>
      <w:r>
        <w:rPr>
          <w:i/>
          <w:color w:val="000000"/>
          <w:sz w:val="24"/>
          <w:szCs w:val="24"/>
        </w:rPr>
        <w:t xml:space="preserve"> </w:t>
      </w:r>
    </w:p>
    <w:p>
      <w:pPr>
        <w:pStyle w:val="Normal"/>
        <w:rPr>
          <w:rFonts w:eastAsia="Verdana"/>
          <w:sz w:val="24"/>
          <w:szCs w:val="24"/>
        </w:rPr>
      </w:pPr>
      <w:r>
        <w:rPr>
          <w:rFonts w:eastAsia="Verdana"/>
          <w:sz w:val="24"/>
          <w:szCs w:val="24"/>
        </w:rPr>
      </w:r>
    </w:p>
    <w:p>
      <w:pPr>
        <w:pStyle w:val="Normal"/>
        <w:rPr>
          <w:sz w:val="24"/>
          <w:szCs w:val="24"/>
        </w:rPr>
      </w:pPr>
      <w:r>
        <w:rPr>
          <w:rFonts w:eastAsia="Verdana" w:cs="Times New Roman"/>
          <w:b w:val="false"/>
          <w:bCs/>
          <w:i w:val="false"/>
          <w:iCs w:val="false"/>
          <w:color w:val="auto"/>
          <w:kern w:val="0"/>
          <w:sz w:val="24"/>
          <w:szCs w:val="24"/>
          <w:lang w:val="pt-BR" w:eastAsia="pt-BR" w:bidi="ar-SA"/>
        </w:rPr>
        <w:t xml:space="preserve">Considerando a </w:t>
      </w:r>
      <w:r>
        <w:rPr>
          <w:rFonts w:eastAsia="Verdana" w:cs="Times New Roman"/>
          <w:b w:val="false"/>
          <w:bCs/>
          <w:i w:val="false"/>
          <w:iCs w:val="false"/>
          <w:color w:val="auto"/>
          <w:kern w:val="0"/>
          <w:sz w:val="24"/>
          <w:szCs w:val="24"/>
          <w:lang w:val="pt-BR" w:eastAsia="pt-BR" w:bidi="ar-SA"/>
        </w:rPr>
        <w:t xml:space="preserve">indicação da arquiteta e urbanista Ludmila de Araújo Correia para integrar a </w:t>
      </w:r>
      <w:r>
        <w:rPr>
          <w:rFonts w:eastAsia="Verdana" w:cs="Times New Roman"/>
          <w:b w:val="false"/>
          <w:bCs/>
          <w:i w:val="false"/>
          <w:iCs w:val="false"/>
          <w:color w:val="auto"/>
          <w:kern w:val="0"/>
          <w:sz w:val="24"/>
          <w:szCs w:val="24"/>
          <w:lang w:val="pt-BR" w:eastAsia="pt-BR" w:bidi="ar-SA"/>
        </w:rPr>
        <w:t xml:space="preserve"> Comissão Temporária de Assistência Técnica e Política Urbana do CAU/DF. </w:t>
      </w:r>
    </w:p>
    <w:p>
      <w:pPr>
        <w:pStyle w:val="Normal"/>
        <w:ind w:right="227" w:hanging="0"/>
        <w:rPr>
          <w:rFonts w:eastAsia="Verdana" w:cs="Times New Roman"/>
          <w:b w:val="false"/>
          <w:b w:val="false"/>
          <w:bCs/>
          <w:color w:val="000000"/>
          <w:sz w:val="24"/>
          <w:szCs w:val="24"/>
          <w:lang w:val="pt-BR"/>
        </w:rPr>
      </w:pPr>
      <w:r>
        <w:rPr>
          <w:rFonts w:eastAsia="Verdana" w:cs="Times New Roman"/>
          <w:b w:val="false"/>
          <w:bCs/>
          <w:color w:val="000000"/>
          <w:sz w:val="24"/>
          <w:szCs w:val="24"/>
          <w:lang w:val="pt-BR"/>
        </w:rPr>
      </w:r>
    </w:p>
    <w:p>
      <w:pPr>
        <w:pStyle w:val="Normal"/>
        <w:rPr>
          <w:b/>
          <w:b/>
          <w:sz w:val="24"/>
          <w:szCs w:val="24"/>
        </w:rPr>
      </w:pPr>
      <w:r>
        <w:rPr>
          <w:b/>
          <w:sz w:val="24"/>
          <w:szCs w:val="24"/>
        </w:rPr>
      </w:r>
    </w:p>
    <w:p>
      <w:pPr>
        <w:pStyle w:val="Normal"/>
        <w:rPr>
          <w:sz w:val="22"/>
          <w:szCs w:val="22"/>
        </w:rPr>
      </w:pPr>
      <w:r>
        <w:rPr>
          <w:b/>
          <w:sz w:val="24"/>
          <w:szCs w:val="24"/>
        </w:rPr>
        <w:t>DELIBEROU:</w:t>
      </w:r>
    </w:p>
    <w:p>
      <w:pPr>
        <w:pStyle w:val="Normal"/>
        <w:rPr>
          <w:sz w:val="24"/>
          <w:szCs w:val="24"/>
        </w:rPr>
      </w:pPr>
      <w:r>
        <w:rPr>
          <w:sz w:val="24"/>
          <w:szCs w:val="24"/>
        </w:rPr>
      </w:r>
    </w:p>
    <w:p>
      <w:pPr>
        <w:pStyle w:val="Normal"/>
        <w:rPr>
          <w:sz w:val="24"/>
          <w:szCs w:val="24"/>
        </w:rPr>
      </w:pPr>
      <w:r>
        <w:rPr>
          <w:rFonts w:eastAsia="Verdana"/>
          <w:sz w:val="24"/>
          <w:szCs w:val="24"/>
        </w:rPr>
        <w:t xml:space="preserve">1 –  </w:t>
      </w:r>
      <w:r>
        <w:rPr>
          <w:rFonts w:eastAsia="Verdana" w:cs="Times New Roman"/>
          <w:b w:val="false"/>
          <w:bCs/>
          <w:sz w:val="24"/>
          <w:szCs w:val="24"/>
          <w:lang w:val="pt-BR"/>
        </w:rPr>
        <w:t xml:space="preserve">Por aprovar a indicação da </w:t>
      </w:r>
      <w:r>
        <w:rPr>
          <w:rFonts w:eastAsia="Verdana" w:cs="Times New Roman"/>
          <w:b w:val="false"/>
          <w:bCs/>
          <w:i w:val="false"/>
          <w:iCs w:val="false"/>
          <w:color w:val="auto"/>
          <w:kern w:val="0"/>
          <w:sz w:val="24"/>
          <w:szCs w:val="24"/>
          <w:lang w:val="pt-BR" w:eastAsia="pt-BR" w:bidi="ar-SA"/>
        </w:rPr>
        <w:t xml:space="preserve">arquiteta e urbanista Ludmila de Araújo Correia para integrar a </w:t>
      </w:r>
      <w:r>
        <w:rPr>
          <w:rFonts w:eastAsia="Verdana" w:cs="Times New Roman"/>
          <w:b w:val="false"/>
          <w:bCs/>
          <w:i w:val="false"/>
          <w:iCs w:val="false"/>
          <w:color w:val="auto"/>
          <w:kern w:val="0"/>
          <w:sz w:val="24"/>
          <w:szCs w:val="24"/>
          <w:lang w:val="pt-BR" w:eastAsia="pt-BR" w:bidi="ar-SA"/>
        </w:rPr>
        <w:t xml:space="preserve"> Comissão Temporária de Assistência Técnica e Política Urbana do CAU/DF.</w:t>
      </w:r>
    </w:p>
    <w:p>
      <w:pPr>
        <w:pStyle w:val="Normal"/>
        <w:rPr>
          <w:rFonts w:eastAsia="Verdana"/>
          <w:bCs/>
          <w:sz w:val="24"/>
          <w:szCs w:val="24"/>
        </w:rPr>
      </w:pPr>
      <w:r>
        <w:rPr>
          <w:rFonts w:eastAsia="Verdana"/>
          <w:bCs/>
          <w:sz w:val="24"/>
          <w:szCs w:val="24"/>
        </w:rPr>
      </w:r>
    </w:p>
    <w:p>
      <w:pPr>
        <w:pStyle w:val="Normal"/>
        <w:rPr>
          <w:rFonts w:eastAsia="Verdana"/>
        </w:rPr>
      </w:pPr>
      <w:r>
        <w:rPr>
          <w:rFonts w:eastAsia="Verdana"/>
          <w:bCs/>
          <w:sz w:val="24"/>
          <w:szCs w:val="24"/>
        </w:rPr>
        <w:t xml:space="preserve">2 </w:t>
      </w:r>
      <w:r>
        <w:rPr>
          <w:rFonts w:eastAsia="Verdana"/>
          <w:sz w:val="24"/>
          <w:szCs w:val="24"/>
        </w:rPr>
        <w:t>– Encaminhar esta deliberação para publicação no sítio eletrônico do CAU/DF.</w:t>
      </w:r>
    </w:p>
    <w:p>
      <w:pPr>
        <w:pStyle w:val="Cabealho"/>
        <w:rPr>
          <w:sz w:val="24"/>
          <w:szCs w:val="24"/>
        </w:rPr>
      </w:pPr>
      <w:r>
        <w:rPr>
          <w:sz w:val="24"/>
          <w:szCs w:val="24"/>
        </w:rPr>
      </w:r>
    </w:p>
    <w:p>
      <w:pPr>
        <w:pStyle w:val="Normal"/>
        <w:rPr>
          <w:rFonts w:eastAsia="Verdana"/>
        </w:rPr>
      </w:pPr>
      <w:r>
        <w:rPr>
          <w:rFonts w:eastAsia="Verdana"/>
          <w:sz w:val="24"/>
          <w:szCs w:val="24"/>
        </w:rPr>
        <w:t>Esta deliberação entra em vigor nesta data.</w:t>
      </w:r>
    </w:p>
    <w:p>
      <w:pPr>
        <w:pStyle w:val="Normal"/>
        <w:rPr>
          <w:rFonts w:eastAsia="Verdana"/>
          <w:sz w:val="24"/>
          <w:szCs w:val="24"/>
        </w:rPr>
      </w:pPr>
      <w:r>
        <w:rPr>
          <w:rFonts w:eastAsia="Verdana"/>
          <w:sz w:val="24"/>
          <w:szCs w:val="24"/>
        </w:rPr>
      </w:r>
    </w:p>
    <w:p>
      <w:pPr>
        <w:pStyle w:val="Normal"/>
        <w:rPr>
          <w:sz w:val="24"/>
          <w:szCs w:val="24"/>
          <w:lang w:eastAsia="pt-BR"/>
        </w:rPr>
      </w:pPr>
      <w:r>
        <w:rPr>
          <w:sz w:val="24"/>
          <w:szCs w:val="24"/>
          <w:lang w:eastAsia="pt-BR"/>
        </w:rPr>
      </w:r>
    </w:p>
    <w:p>
      <w:pPr>
        <w:pStyle w:val="Normal"/>
        <w:rPr>
          <w:sz w:val="22"/>
          <w:szCs w:val="22"/>
        </w:rPr>
      </w:pPr>
      <w:bookmarkStart w:id="1" w:name="__DdeLink__92_1147962079"/>
      <w:r>
        <w:rPr>
          <w:sz w:val="24"/>
          <w:szCs w:val="24"/>
          <w:lang w:eastAsia="pt-BR"/>
        </w:rPr>
        <w:t xml:space="preserve">Com </w:t>
      </w:r>
      <w:r>
        <w:rPr>
          <w:rFonts w:eastAsia="Calibri" w:cs="Times New Roman"/>
          <w:b/>
          <w:color w:val="auto"/>
          <w:kern w:val="0"/>
          <w:sz w:val="24"/>
          <w:szCs w:val="24"/>
          <w:lang w:val="pt-BR" w:eastAsia="pt-BR" w:bidi="ar-SA"/>
        </w:rPr>
        <w:t>10</w:t>
      </w:r>
      <w:r>
        <w:rPr>
          <w:b/>
          <w:bCs/>
          <w:sz w:val="24"/>
          <w:szCs w:val="24"/>
          <w:lang w:eastAsia="pt-BR"/>
        </w:rPr>
        <w:t xml:space="preserve"> votos favoráveis</w:t>
      </w:r>
      <w:r>
        <w:rPr>
          <w:sz w:val="24"/>
          <w:szCs w:val="24"/>
          <w:lang w:eastAsia="pt-BR"/>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b/>
          <w:sz w:val="24"/>
          <w:szCs w:val="24"/>
          <w:lang w:eastAsia="pt-BR"/>
        </w:rPr>
        <w:t>00</w:t>
      </w:r>
      <w:r>
        <w:rPr>
          <w:sz w:val="24"/>
          <w:szCs w:val="24"/>
          <w:lang w:eastAsia="pt-BR"/>
        </w:rPr>
        <w:t xml:space="preserve"> ausência; </w:t>
      </w:r>
      <w:r>
        <w:rPr>
          <w:b/>
          <w:sz w:val="24"/>
          <w:szCs w:val="24"/>
          <w:lang w:eastAsia="pt-BR"/>
        </w:rPr>
        <w:t>00</w:t>
      </w:r>
      <w:r>
        <w:rPr>
          <w:sz w:val="24"/>
          <w:szCs w:val="24"/>
          <w:lang w:eastAsia="pt-BR"/>
        </w:rPr>
        <w:t xml:space="preserve"> voto contrário e </w:t>
      </w:r>
      <w:r>
        <w:rPr>
          <w:b/>
          <w:sz w:val="24"/>
          <w:szCs w:val="24"/>
          <w:lang w:eastAsia="pt-BR"/>
        </w:rPr>
        <w:t>00</w:t>
      </w:r>
      <w:r>
        <w:rPr>
          <w:sz w:val="24"/>
          <w:szCs w:val="24"/>
          <w:lang w:eastAsia="pt-BR"/>
        </w:rPr>
        <w:t xml:space="preserve"> abstenção.</w:t>
      </w:r>
      <w:bookmarkEnd w:id="1"/>
    </w:p>
    <w:p>
      <w:pPr>
        <w:pStyle w:val="Normal"/>
        <w:ind w:left="-142" w:hanging="0"/>
        <w:jc w:val="center"/>
        <w:rPr>
          <w:rFonts w:eastAsia="Verdana"/>
          <w:sz w:val="24"/>
          <w:szCs w:val="24"/>
        </w:rPr>
      </w:pPr>
      <w:r>
        <w:rPr>
          <w:rFonts w:eastAsia="Verdana"/>
          <w:sz w:val="24"/>
          <w:szCs w:val="24"/>
        </w:rPr>
      </w:r>
    </w:p>
    <w:p>
      <w:pPr>
        <w:pStyle w:val="Normal"/>
        <w:ind w:left="-142" w:hanging="0"/>
        <w:jc w:val="center"/>
        <w:rPr>
          <w:rFonts w:eastAsia="Verdana"/>
          <w:sz w:val="24"/>
          <w:szCs w:val="24"/>
        </w:rPr>
      </w:pPr>
      <w:r>
        <w:rPr>
          <w:rFonts w:eastAsia="Verdana"/>
          <w:sz w:val="24"/>
          <w:szCs w:val="24"/>
        </w:rPr>
      </w:r>
    </w:p>
    <w:p>
      <w:pPr>
        <w:pStyle w:val="Normal"/>
        <w:ind w:left="-142" w:hanging="0"/>
        <w:jc w:val="center"/>
        <w:rPr>
          <w:sz w:val="22"/>
          <w:szCs w:val="22"/>
        </w:rPr>
      </w:pPr>
      <w:r>
        <w:rPr>
          <w:rFonts w:eastAsia="Verdana"/>
          <w:sz w:val="24"/>
          <w:szCs w:val="24"/>
        </w:rPr>
        <w:t xml:space="preserve">Brasília - DF, </w:t>
      </w:r>
      <w:r>
        <w:rPr>
          <w:rFonts w:eastAsia="Verdana" w:cs="Times New Roman"/>
          <w:color w:val="auto"/>
          <w:kern w:val="0"/>
          <w:sz w:val="24"/>
          <w:szCs w:val="24"/>
          <w:lang w:val="pt-BR" w:eastAsia="en-US" w:bidi="ar-SA"/>
        </w:rPr>
        <w:t>2</w:t>
      </w:r>
      <w:r>
        <w:rPr>
          <w:rFonts w:eastAsia="Verdana"/>
          <w:sz w:val="24"/>
          <w:szCs w:val="24"/>
        </w:rPr>
        <w:t>7 de abril de 2020.</w:t>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rPr>
          <w:rFonts w:eastAsia="Verdana"/>
          <w:sz w:val="24"/>
          <w:szCs w:val="24"/>
        </w:rPr>
      </w:pPr>
      <w:r>
        <w:rPr>
          <w:rFonts w:eastAsia="Verdana"/>
          <w:sz w:val="24"/>
          <w:szCs w:val="24"/>
        </w:rPr>
      </w:r>
    </w:p>
    <w:p>
      <w:pPr>
        <w:pStyle w:val="Normal"/>
        <w:ind w:left="-142" w:hanging="0"/>
        <w:jc w:val="center"/>
        <w:rPr>
          <w:rFonts w:eastAsia="Verdana"/>
          <w:b/>
          <w:b/>
        </w:rPr>
      </w:pPr>
      <w:r>
        <w:rPr>
          <w:rFonts w:eastAsia="Verdana"/>
          <w:b/>
          <w:sz w:val="24"/>
          <w:szCs w:val="24"/>
        </w:rPr>
        <w:t xml:space="preserve">Daniel Mangabeira da Vinha </w:t>
      </w:r>
    </w:p>
    <w:p>
      <w:pPr>
        <w:pStyle w:val="Normal"/>
        <w:ind w:left="-142" w:hanging="0"/>
        <w:jc w:val="center"/>
        <w:rPr>
          <w:sz w:val="24"/>
          <w:szCs w:val="24"/>
        </w:rPr>
      </w:pPr>
      <w:r>
        <w:rPr>
          <w:rFonts w:eastAsia="Verdana"/>
          <w:sz w:val="24"/>
          <w:szCs w:val="24"/>
        </w:rPr>
        <w:t>Presidente do CAU/DF</w:t>
      </w:r>
    </w:p>
    <w:sectPr>
      <w:headerReference w:type="default" r:id="rId2"/>
      <w:footerReference w:type="default" r:id="rId3"/>
      <w:type w:val="nextPage"/>
      <w:pgSz w:w="11906" w:h="16838"/>
      <w:pgMar w:left="1701" w:right="1134" w:header="284" w:top="1701" w:footer="22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1701" w:right="-851" w:hanging="0"/>
      <w:jc w:val="center"/>
      <w:rPr/>
    </w:pPr>
    <w:r>
      <mc:AlternateContent>
        <mc:Choice Requires="wps">
          <w:drawing>
            <wp:anchor behindDoc="1" distT="0" distB="0" distL="0" distR="0" simplePos="0" locked="0" layoutInCell="1" allowOverlap="1" relativeHeight="2" wp14:anchorId="233D3F2A">
              <wp:simplePos x="0" y="0"/>
              <wp:positionH relativeFrom="margin">
                <wp:posOffset>-1905</wp:posOffset>
              </wp:positionH>
              <wp:positionV relativeFrom="paragraph">
                <wp:posOffset>-4445</wp:posOffset>
              </wp:positionV>
              <wp:extent cx="5739765" cy="15240"/>
              <wp:effectExtent l="0" t="0" r="19050" b="28575"/>
              <wp:wrapNone/>
              <wp:docPr id="1" name="Conector reto 3"/>
              <a:graphic xmlns:a="http://schemas.openxmlformats.org/drawingml/2006/main">
                <a:graphicData uri="http://schemas.microsoft.com/office/word/2010/wordprocessingShape">
                  <wps:wsp>
                    <wps:cNvSpPr/>
                    <wps:spPr>
                      <a:xfrm flipV="1">
                        <a:off x="0" y="0"/>
                        <a:ext cx="5739120" cy="9000"/>
                      </a:xfrm>
                      <a:prstGeom prst="line">
                        <a:avLst/>
                      </a:prstGeom>
                      <a:ln w="19080">
                        <a:solidFill>
                          <a:srgbClr val="1c3942"/>
                        </a:solidFill>
                        <a:round/>
                      </a:ln>
                    </wps:spPr>
                    <wps:style>
                      <a:lnRef idx="0"/>
                      <a:fillRef idx="0"/>
                      <a:effectRef idx="0"/>
                      <a:fontRef idx="minor"/>
                    </wps:style>
                    <wps:bodyPr/>
                  </wps:wsp>
                </a:graphicData>
              </a:graphic>
            </wp:anchor>
          </w:drawing>
        </mc:Choice>
        <mc:Fallback>
          <w:pict>
            <v:line id="shape_0" from="-0.2pt,-0.75pt" to="451.65pt,-0.1pt" ID="Conector reto 3" stroked="t" style="position:absolute;flip:y;mso-position-horizontal-relative:margin" wp14:anchorId="233D3F2A">
              <v:stroke color="#1c3942" weight="19080" joinstyle="round" endcap="flat"/>
              <v:fill o:detectmouseclick="t" on="false"/>
            </v:line>
          </w:pict>
        </mc:Fallback>
      </mc:AlternateContent>
    </w:r>
    <w:r>
      <w:rPr>
        <w:rFonts w:ascii="DaxCondensed-Regular" w:hAnsi="DaxCondensed-Regular"/>
        <w:color w:val="1C3942"/>
        <w:sz w:val="16"/>
        <w:szCs w:val="16"/>
      </w:rPr>
      <w:t xml:space="preserve">Página </w:t>
    </w:r>
    <w:r>
      <w:rPr>
        <w:rFonts w:ascii="DaxCondensed-Regular" w:hAnsi="DaxCondensed-Regular"/>
        <w:sz w:val="16"/>
        <w:szCs w:val="16"/>
      </w:rPr>
      <w:fldChar w:fldCharType="begin"/>
    </w:r>
    <w:r>
      <w:rPr>
        <w:sz w:val="16"/>
        <w:szCs w:val="16"/>
        <w:rFonts w:ascii="DaxCondensed-Regular" w:hAnsi="DaxCondensed-Regular"/>
      </w:rPr>
      <w:instrText> PAGE </w:instrText>
    </w:r>
    <w:r>
      <w:rPr>
        <w:sz w:val="16"/>
        <w:szCs w:val="16"/>
        <w:rFonts w:ascii="DaxCondensed-Regular" w:hAnsi="DaxCondensed-Regular"/>
      </w:rPr>
      <w:fldChar w:fldCharType="separate"/>
    </w:r>
    <w:r>
      <w:rPr>
        <w:sz w:val="16"/>
        <w:szCs w:val="16"/>
        <w:rFonts w:ascii="DaxCondensed-Regular" w:hAnsi="DaxCondensed-Regular"/>
      </w:rPr>
      <w:t>1</w:t>
    </w:r>
    <w:r>
      <w:rPr>
        <w:sz w:val="16"/>
        <w:szCs w:val="16"/>
        <w:rFonts w:ascii="DaxCondensed-Regular" w:hAnsi="DaxCondensed-Regular"/>
      </w:rPr>
      <w:fldChar w:fldCharType="end"/>
    </w:r>
    <w:r>
      <w:rPr>
        <w:rFonts w:ascii="DaxCondensed-Regular" w:hAnsi="DaxCondensed-Regular"/>
        <w:color w:val="1C3942"/>
        <w:sz w:val="16"/>
        <w:szCs w:val="16"/>
      </w:rPr>
      <w:t xml:space="preserve"> de </w:t>
    </w:r>
    <w:r>
      <w:rPr>
        <w:rFonts w:ascii="DaxCondensed-Regular" w:hAnsi="DaxCondensed-Regular"/>
        <w:sz w:val="16"/>
        <w:szCs w:val="16"/>
      </w:rPr>
      <w:fldChar w:fldCharType="begin"/>
    </w:r>
    <w:r>
      <w:rPr>
        <w:sz w:val="16"/>
        <w:szCs w:val="16"/>
        <w:rFonts w:ascii="DaxCondensed-Regular" w:hAnsi="DaxCondensed-Regular"/>
      </w:rPr>
      <w:instrText> NUMPAGES </w:instrText>
    </w:r>
    <w:r>
      <w:rPr>
        <w:sz w:val="16"/>
        <w:szCs w:val="16"/>
        <w:rFonts w:ascii="DaxCondensed-Regular" w:hAnsi="DaxCondensed-Regular"/>
      </w:rPr>
      <w:fldChar w:fldCharType="separate"/>
    </w:r>
    <w:r>
      <w:rPr>
        <w:sz w:val="16"/>
        <w:szCs w:val="16"/>
        <w:rFonts w:ascii="DaxCondensed-Regular" w:hAnsi="DaxCondensed-Regular"/>
      </w:rPr>
      <w:t>1</w:t>
    </w:r>
    <w:r>
      <w:rPr>
        <w:sz w:val="16"/>
        <w:szCs w:val="16"/>
        <w:rFonts w:ascii="DaxCondensed-Regular" w:hAnsi="DaxCondensed-Regular"/>
      </w:rPr>
      <w:fldChar w:fldCharType="end"/>
    </w:r>
  </w:p>
  <w:p>
    <w:pPr>
      <w:pStyle w:val="Normal"/>
      <w:ind w:left="-1701" w:right="-851" w:hanging="0"/>
      <w:jc w:val="center"/>
      <w:rPr>
        <w:rFonts w:ascii="DaxCondensed-Regular" w:hAnsi="DaxCondensed-Regular"/>
        <w:color w:val="1C3942"/>
        <w:sz w:val="8"/>
        <w:szCs w:val="8"/>
      </w:rPr>
    </w:pPr>
    <w:r>
      <w:rPr>
        <w:rFonts w:ascii="DaxCondensed-Regular" w:hAnsi="DaxCondensed-Regular"/>
        <w:color w:val="1C3942"/>
        <w:sz w:val="8"/>
        <w:szCs w:val="8"/>
      </w:rPr>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 xml:space="preserve">SEPS 705/905, Bloco “A”, Salas 401 a 406, Centro Empresarial Santa Cruz - CEP 70.390-055 - Brasília (DF) </w:t>
    </w:r>
  </w:p>
  <w:p>
    <w:pPr>
      <w:pStyle w:val="Normal"/>
      <w:ind w:left="-1701" w:right="-7" w:firstLine="1701"/>
      <w:jc w:val="center"/>
      <w:rPr>
        <w:rFonts w:ascii="DaxCondensed-Regular" w:hAnsi="DaxCondensed-Regular"/>
        <w:color w:val="1C3942"/>
        <w:sz w:val="18"/>
        <w:szCs w:val="18"/>
      </w:rPr>
    </w:pPr>
    <w:r>
      <w:rPr>
        <w:rFonts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ind w:left="-1701" w:right="-851" w:hanging="0"/>
      <w:jc w:val="left"/>
      <w:rPr/>
    </w:pPr>
    <w:r>
      <w:rPr/>
    </w:r>
  </w:p>
  <w:p>
    <w:pPr>
      <w:pStyle w:val="Rodap"/>
      <w:ind w:right="-851" w:hanging="0"/>
      <w:jc w:val="left"/>
      <w:rPr/>
    </w:pPr>
    <w:r>
      <w:rPr/>
    </w:r>
  </w:p>
  <w:p>
    <w:pPr>
      <w:pStyle w:val="Rodap"/>
      <w:ind w:right="-851" w:hanging="0"/>
      <w:jc w:val="left"/>
      <w:rPr>
        <w:rFonts w:ascii="Arial" w:hAnsi="Arial"/>
        <w:color w:val="1C3942"/>
        <w:sz w:val="22"/>
      </w:rPr>
    </w:pPr>
    <w:r>
      <w:rPr/>
      <w:object>
        <v:shape id="ole_rId1" style="width:453.3pt;height:42.55pt" o:ole="">
          <v:imagedata r:id="rId2" o:title=""/>
        </v:shape>
        <o:OLEObject Type="Embed" ProgID="CorelDraw.Graphic.16" ShapeID="ole_rId1" DrawAspect="Content" ObjectID="_470459509" r:id="rId1"/>
      </w:object>
    </w:r>
  </w:p>
</w:hdr>
</file>

<file path=word/settings.xml><?xml version="1.0" encoding="utf-8"?>
<w:settings xmlns:w="http://schemas.openxmlformats.org/wordprocessingml/2006/main">
  <w:zoom w:percent="12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27adf"/>
    <w:pPr>
      <w:widowControl/>
      <w:bidi w:val="0"/>
      <w:jc w:val="both"/>
    </w:pPr>
    <w:rPr>
      <w:rFonts w:ascii="Times New Roman" w:hAnsi="Times New Roman" w:eastAsia="Calibri" w:cs="Times New Roman"/>
      <w:color w:val="auto"/>
      <w:kern w:val="0"/>
      <w:sz w:val="24"/>
      <w:szCs w:val="24"/>
      <w:lang w:val="pt-BR" w:eastAsia="en-US" w:bidi="ar-SA"/>
    </w:rPr>
  </w:style>
  <w:style w:type="paragraph" w:styleId="Ttulo1">
    <w:name w:val="Heading 1"/>
    <w:basedOn w:val="Normal"/>
    <w:next w:val="Normal"/>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
    <w:next w:val="Normal"/>
    <w:link w:val="Ttulo2Char"/>
    <w:qFormat/>
    <w:rsid w:val="00727adf"/>
    <w:pPr>
      <w:keepNext w:val="true"/>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
    <w:next w:val="Normal"/>
    <w:link w:val="Ttulo4Char"/>
    <w:uiPriority w:val="9"/>
    <w:unhideWhenUsed/>
    <w:qFormat/>
    <w:rsid w:val="00d714e1"/>
    <w:pPr>
      <w:keepNext w:val="true"/>
      <w:jc w:val="center"/>
      <w:outlineLvl w:val="3"/>
    </w:pPr>
    <w:rPr>
      <w:b/>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Strong">
    <w:name w:val="Strong"/>
    <w:basedOn w:val="DefaultParagraphFont"/>
    <w:uiPriority w:val="22"/>
    <w:qFormat/>
    <w:rsid w:val="001412f5"/>
    <w:rPr>
      <w:b/>
      <w:b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Cabealho">
    <w:name w:val="Header"/>
    <w:basedOn w:val="Normal"/>
    <w:link w:val="CabealhoChar"/>
    <w:unhideWhenUsed/>
    <w:rsid w:val="00727adf"/>
    <w:pPr>
      <w:tabs>
        <w:tab w:val="clear" w:pos="708"/>
        <w:tab w:val="center" w:pos="4320" w:leader="none"/>
        <w:tab w:val="right" w:pos="8640" w:leader="none"/>
      </w:tabs>
    </w:pPr>
    <w:rPr/>
  </w:style>
  <w:style w:type="paragraph" w:styleId="Rodap">
    <w:name w:val="Footer"/>
    <w:basedOn w:val="Normal"/>
    <w:link w:val="RodapChar"/>
    <w:uiPriority w:val="99"/>
    <w:unhideWhenUsed/>
    <w:rsid w:val="00727adf"/>
    <w:pPr>
      <w:tabs>
        <w:tab w:val="clear" w:pos="708"/>
        <w:tab w:val="center" w:pos="4320" w:leader="none"/>
        <w:tab w:val="right" w:pos="8640" w:leader="none"/>
      </w:tabs>
    </w:pPr>
    <w:rPr/>
  </w:style>
  <w:style w:type="paragraph" w:styleId="ListParagraph">
    <w:name w:val="List Paragraph"/>
    <w:basedOn w:val="Normal"/>
    <w:uiPriority w:val="34"/>
    <w:qFormat/>
    <w:rsid w:val="00727adf"/>
    <w:pPr>
      <w:spacing w:before="0" w:after="0"/>
      <w:ind w:left="720" w:hanging="0"/>
      <w:contextualSpacing/>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qFormat/>
    <w:rsid w:val="00b00899"/>
    <w:pPr/>
    <w:rPr>
      <w:sz w:val="28"/>
      <w:szCs w:val="28"/>
    </w:rPr>
  </w:style>
  <w:style w:type="paragraph" w:styleId="BalloonText">
    <w:name w:val="Balloon Text"/>
    <w:basedOn w:val="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
    <w:link w:val="Recuodecorpodetexto2Char"/>
    <w:uiPriority w:val="99"/>
    <w:unhideWhenUsed/>
    <w:qFormat/>
    <w:rsid w:val="00fd05a6"/>
    <w:pPr>
      <w:ind w:left="3686" w:hanging="0"/>
    </w:pPr>
    <w:rPr>
      <w:rFonts w:ascii="Calibri" w:hAnsi="Calibri"/>
    </w:rPr>
  </w:style>
  <w:style w:type="paragraph" w:styleId="NormalWeb">
    <w:name w:val="Normal (Web)"/>
    <w:basedOn w:val="Normal"/>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
    <w:link w:val="parag2Char"/>
    <w:qFormat/>
    <w:rsid w:val="00a22ca8"/>
    <w:pPr>
      <w:spacing w:beforeAutospacing="1" w:afterAutospacing="1"/>
      <w:jc w:val="left"/>
    </w:pPr>
    <w:rPr>
      <w:rFonts w:eastAsia="Times New Roman"/>
      <w:lang w:eastAsia="pt-BR"/>
    </w:rPr>
  </w:style>
  <w:style w:type="paragraph" w:styleId="Ttulododocumento">
    <w:name w:val="Title"/>
    <w:basedOn w:val="Normal"/>
    <w:next w:val="Normal"/>
    <w:link w:val="TtuloChar"/>
    <w:uiPriority w:val="10"/>
    <w:qFormat/>
    <w:rsid w:val="00ab01db"/>
    <w:pPr>
      <w:jc w:val="center"/>
    </w:pPr>
    <w:rPr>
      <w:rFonts w:eastAsia="Times New Roman"/>
      <w:b/>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08"/>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left"/>
    </w:pPr>
    <w:rPr>
      <w:rFonts w:ascii="Arial" w:hAnsi="Arial" w:eastAsia="Times New Roman" w:cs="Arial"/>
      <w:color w:val="auto"/>
      <w:kern w:val="0"/>
      <w:sz w:val="24"/>
      <w:szCs w:val="24"/>
      <w:lang w:val="pt-BR" w:eastAsia="zh-CN"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800BD-CCF1-43D6-9312-4A74AC0A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Application>LibreOffice/6.3.3.2$Windows_X86_64 LibreOffice_project/a64200df03143b798afd1ec74a12ab50359878ed</Application>
  <Pages>1</Pages>
  <Words>282</Words>
  <Characters>1566</Characters>
  <CharactersWithSpaces>1839</CharactersWithSpaces>
  <Paragraphs>23</Paragraphs>
  <Company>CAU/DF</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2020-01-30T17:32:00Z</dcterms:created>
  <dc:creator>Anderson Viana</dc:creator>
  <dc:description/>
  <dc:language>pt-BR</dc:language>
  <cp:lastModifiedBy/>
  <cp:lastPrinted>2020-02-21T14:12:00Z</cp:lastPrinted>
  <dcterms:modified xsi:type="dcterms:W3CDTF">2020-04-28T16:25:40Z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