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C35" w:rsidRDefault="00FC0253">
      <w:pPr>
        <w:pStyle w:val="LO-normal"/>
        <w:tabs>
          <w:tab w:val="left" w:pos="8931"/>
        </w:tabs>
        <w:spacing w:before="240" w:line="360" w:lineRule="auto"/>
        <w:jc w:val="both"/>
        <w:rPr>
          <w:highlight w:val="white"/>
        </w:rPr>
      </w:pPr>
      <w:bookmarkStart w:id="0" w:name="_heading=h.gjdgxs"/>
      <w:bookmarkStart w:id="1" w:name="_GoBack"/>
      <w:bookmarkEnd w:id="0"/>
      <w:bookmarkEnd w:id="1"/>
      <w:r>
        <w:rPr>
          <w:rFonts w:ascii="Times New Roman" w:hAnsi="Times New Roman"/>
        </w:rPr>
        <w:t xml:space="preserve">Aos vinte e cinco dias do mês de maio de dois mil e vinte, às dezoito horas, por videoconferência via </w:t>
      </w:r>
      <w:r>
        <w:rPr>
          <w:rFonts w:ascii="Times New Roman" w:hAnsi="Times New Roman"/>
          <w:i/>
        </w:rPr>
        <w:t>ZOOM</w:t>
      </w:r>
      <w:r>
        <w:rPr>
          <w:rFonts w:ascii="Times New Roman" w:hAnsi="Times New Roman"/>
        </w:rPr>
        <w:t xml:space="preserve">, reuniu-se </w:t>
      </w:r>
      <w:r>
        <w:rPr>
          <w:rFonts w:ascii="Times New Roman" w:hAnsi="Times New Roman"/>
          <w:b/>
        </w:rPr>
        <w:t>o Plenário do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Conselho de Arquitetura e Urbanismo do Distrito Federal – CAU/DF,</w:t>
      </w:r>
      <w:r>
        <w:rPr>
          <w:rFonts w:ascii="Times New Roman" w:hAnsi="Times New Roman"/>
        </w:rPr>
        <w:t xml:space="preserve"> sob a </w:t>
      </w:r>
      <w:r>
        <w:rPr>
          <w:rFonts w:ascii="Times New Roman" w:hAnsi="Times New Roman"/>
          <w:b/>
        </w:rPr>
        <w:t xml:space="preserve">presidência </w:t>
      </w:r>
      <w:r>
        <w:rPr>
          <w:rFonts w:ascii="Times New Roman" w:hAnsi="Times New Roman"/>
        </w:rPr>
        <w:t xml:space="preserve">de Daniel Mangabeira da Vinha, com </w:t>
      </w:r>
      <w:r>
        <w:rPr>
          <w:rFonts w:ascii="Times New Roman" w:hAnsi="Times New Roman"/>
          <w:b/>
        </w:rPr>
        <w:t xml:space="preserve">os </w:t>
      </w:r>
      <w:r>
        <w:rPr>
          <w:rFonts w:ascii="Times New Roman" w:hAnsi="Times New Roman"/>
          <w:b/>
        </w:rPr>
        <w:t>conselheiros titulares</w:t>
      </w:r>
      <w:r>
        <w:rPr>
          <w:rFonts w:ascii="Times New Roman" w:hAnsi="Times New Roman"/>
        </w:rPr>
        <w:t xml:space="preserve">: André </w:t>
      </w:r>
      <w:proofErr w:type="spellStart"/>
      <w:r>
        <w:rPr>
          <w:rFonts w:ascii="Times New Roman" w:hAnsi="Times New Roman"/>
        </w:rPr>
        <w:t>Bello</w:t>
      </w:r>
      <w:proofErr w:type="spellEnd"/>
      <w:r>
        <w:rPr>
          <w:rFonts w:ascii="Times New Roman" w:hAnsi="Times New Roman"/>
        </w:rPr>
        <w:t xml:space="preserve">, Antônio Menezes Júnior, Daniel Marcos </w:t>
      </w:r>
      <w:proofErr w:type="spellStart"/>
      <w:r>
        <w:rPr>
          <w:rFonts w:ascii="Times New Roman" w:hAnsi="Times New Roman"/>
        </w:rPr>
        <w:t>Szwec</w:t>
      </w:r>
      <w:proofErr w:type="spellEnd"/>
      <w:r>
        <w:rPr>
          <w:rFonts w:ascii="Times New Roman" w:hAnsi="Times New Roman"/>
        </w:rPr>
        <w:t xml:space="preserve"> dos Santos Fernandes, Gabriela de Souza </w:t>
      </w:r>
      <w:proofErr w:type="spellStart"/>
      <w:r>
        <w:rPr>
          <w:rFonts w:ascii="Times New Roman" w:hAnsi="Times New Roman"/>
        </w:rPr>
        <w:t>Tenorio</w:t>
      </w:r>
      <w:proofErr w:type="spellEnd"/>
      <w:r>
        <w:rPr>
          <w:rFonts w:ascii="Times New Roman" w:hAnsi="Times New Roman"/>
        </w:rPr>
        <w:t xml:space="preserve">, Giselle </w:t>
      </w:r>
      <w:proofErr w:type="spellStart"/>
      <w:r>
        <w:rPr>
          <w:rFonts w:ascii="Times New Roman" w:hAnsi="Times New Roman"/>
        </w:rPr>
        <w:t>Moll</w:t>
      </w:r>
      <w:proofErr w:type="spellEnd"/>
      <w:r>
        <w:rPr>
          <w:rFonts w:ascii="Times New Roman" w:hAnsi="Times New Roman"/>
        </w:rPr>
        <w:t xml:space="preserve"> Mascarenhas, João Gilberto de Carvalho Accioly, Mônica Andréa Blanco, Pedro de Almeida Grilo e Rogério </w:t>
      </w:r>
      <w:proofErr w:type="spellStart"/>
      <w:r>
        <w:rPr>
          <w:rFonts w:ascii="Times New Roman" w:hAnsi="Times New Roman"/>
        </w:rPr>
        <w:t>Markiewicz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>os conselheiros suplentes:</w:t>
      </w:r>
      <w:r>
        <w:rPr>
          <w:rFonts w:ascii="Times New Roman" w:hAnsi="Times New Roman"/>
        </w:rPr>
        <w:t xml:space="preserve"> André Velloso Ramos, Clécio Nonato Resende, João Eduardo Martins Dantas e Letícia Miguel Teixeira (em titularidade), </w:t>
      </w:r>
      <w:r>
        <w:rPr>
          <w:rFonts w:ascii="Times New Roman" w:hAnsi="Times New Roman"/>
          <w:b/>
        </w:rPr>
        <w:t xml:space="preserve">os conselheiros federais: </w:t>
      </w:r>
      <w:r>
        <w:rPr>
          <w:rFonts w:ascii="Times New Roman" w:hAnsi="Times New Roman"/>
        </w:rPr>
        <w:t xml:space="preserve">Luís Fernando Zeferino e Raul Wanderley Gradim, </w:t>
      </w:r>
      <w:r>
        <w:rPr>
          <w:rFonts w:ascii="Times New Roman" w:hAnsi="Times New Roman"/>
          <w:b/>
        </w:rPr>
        <w:t>o gerente geral</w:t>
      </w:r>
      <w:r>
        <w:rPr>
          <w:rFonts w:ascii="Times New Roman" w:hAnsi="Times New Roman"/>
        </w:rPr>
        <w:t xml:space="preserve"> Flávio Soares Olivei</w:t>
      </w:r>
      <w:r>
        <w:rPr>
          <w:rFonts w:ascii="Times New Roman" w:hAnsi="Times New Roman"/>
        </w:rPr>
        <w:t xml:space="preserve">ra, </w:t>
      </w:r>
      <w:r>
        <w:rPr>
          <w:rFonts w:ascii="Times New Roman" w:hAnsi="Times New Roman"/>
          <w:b/>
        </w:rPr>
        <w:t>o assessor de TI</w:t>
      </w:r>
      <w:r>
        <w:rPr>
          <w:rFonts w:ascii="Times New Roman" w:hAnsi="Times New Roman"/>
        </w:rPr>
        <w:t xml:space="preserve"> Alessandro da Silva Viana, </w:t>
      </w:r>
      <w:r>
        <w:rPr>
          <w:rFonts w:ascii="Times New Roman" w:hAnsi="Times New Roman"/>
          <w:b/>
        </w:rPr>
        <w:t>o assessor da presidência</w:t>
      </w:r>
      <w:r>
        <w:rPr>
          <w:rFonts w:ascii="Times New Roman" w:hAnsi="Times New Roman"/>
        </w:rPr>
        <w:t xml:space="preserve"> Alexandre Caputo Barreto, </w:t>
      </w:r>
      <w:r>
        <w:rPr>
          <w:rFonts w:ascii="Times New Roman" w:hAnsi="Times New Roman"/>
          <w:b/>
        </w:rPr>
        <w:t>a assessora de comunicação e imprensa</w:t>
      </w:r>
      <w:r>
        <w:rPr>
          <w:rFonts w:ascii="Times New Roman" w:hAnsi="Times New Roman"/>
        </w:rPr>
        <w:t xml:space="preserve"> Andréa Silva Mota Lopes, </w:t>
      </w:r>
      <w:r>
        <w:rPr>
          <w:rFonts w:ascii="Times New Roman" w:hAnsi="Times New Roman"/>
          <w:b/>
        </w:rPr>
        <w:t xml:space="preserve">a analista arquiteta </w:t>
      </w:r>
      <w:r>
        <w:rPr>
          <w:rFonts w:ascii="Times New Roman" w:hAnsi="Times New Roman"/>
        </w:rPr>
        <w:t xml:space="preserve">Daniela Borges dos Santos,  </w:t>
      </w:r>
      <w:r>
        <w:rPr>
          <w:rFonts w:ascii="Times New Roman" w:hAnsi="Times New Roman"/>
          <w:b/>
        </w:rPr>
        <w:t>a advogada</w:t>
      </w:r>
      <w:r>
        <w:rPr>
          <w:rFonts w:ascii="Times New Roman" w:hAnsi="Times New Roman"/>
        </w:rPr>
        <w:t xml:space="preserve"> Fernanda Gurgel Nogueira, </w:t>
      </w:r>
      <w:r>
        <w:rPr>
          <w:rFonts w:ascii="Times New Roman" w:hAnsi="Times New Roman"/>
          <w:b/>
        </w:rPr>
        <w:t>a assis</w:t>
      </w:r>
      <w:r>
        <w:rPr>
          <w:rFonts w:ascii="Times New Roman" w:hAnsi="Times New Roman"/>
          <w:b/>
        </w:rPr>
        <w:t>tente administrativa</w:t>
      </w:r>
      <w:r>
        <w:rPr>
          <w:rFonts w:ascii="Times New Roman" w:hAnsi="Times New Roman"/>
        </w:rPr>
        <w:t xml:space="preserve"> Juliana Severo dos Santos, </w:t>
      </w:r>
      <w:r>
        <w:rPr>
          <w:rFonts w:ascii="Times New Roman" w:hAnsi="Times New Roman"/>
          <w:b/>
        </w:rPr>
        <w:t>advogada</w:t>
      </w:r>
      <w:r>
        <w:rPr>
          <w:rFonts w:ascii="Times New Roman" w:hAnsi="Times New Roman"/>
        </w:rPr>
        <w:t xml:space="preserve"> Karla Dias </w:t>
      </w:r>
      <w:proofErr w:type="spellStart"/>
      <w:r>
        <w:rPr>
          <w:rFonts w:ascii="Times New Roman" w:hAnsi="Times New Roman"/>
        </w:rPr>
        <w:t>Faulstich</w:t>
      </w:r>
      <w:proofErr w:type="spellEnd"/>
      <w:r>
        <w:rPr>
          <w:rFonts w:ascii="Times New Roman" w:hAnsi="Times New Roman"/>
        </w:rPr>
        <w:t xml:space="preserve"> Alves, </w:t>
      </w:r>
      <w:r>
        <w:rPr>
          <w:rFonts w:ascii="Times New Roman" w:hAnsi="Times New Roman"/>
          <w:b/>
        </w:rPr>
        <w:t>a assessora técnica especial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Katianne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Marry</w:t>
      </w:r>
      <w:proofErr w:type="spellEnd"/>
      <w:r>
        <w:rPr>
          <w:rFonts w:ascii="Times New Roman" w:hAnsi="Times New Roman"/>
        </w:rPr>
        <w:t xml:space="preserve"> Ferreira Barbosa e </w:t>
      </w:r>
      <w:r>
        <w:rPr>
          <w:rFonts w:ascii="Times New Roman" w:hAnsi="Times New Roman"/>
          <w:b/>
        </w:rPr>
        <w:t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analista financeiro-contábil</w:t>
      </w:r>
      <w:r>
        <w:rPr>
          <w:rFonts w:ascii="Times New Roman" w:hAnsi="Times New Roman"/>
        </w:rPr>
        <w:t xml:space="preserve"> Rafael Levi Amaral Santos.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Justificaram sua ausência </w:t>
      </w:r>
      <w:r w:rsidR="00B62F56">
        <w:rPr>
          <w:rFonts w:ascii="Times New Roman" w:hAnsi="Times New Roman"/>
          <w:b/>
        </w:rPr>
        <w:t>as conselheira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</w:rPr>
        <w:t>: Júlia T</w:t>
      </w:r>
      <w:r>
        <w:rPr>
          <w:rFonts w:ascii="Times New Roman" w:hAnsi="Times New Roman"/>
        </w:rPr>
        <w:t xml:space="preserve">eixeira Fernandes, Luciana Jobim Navarro e Valéria Arruda de Castro. </w:t>
      </w:r>
      <w:r>
        <w:rPr>
          <w:rFonts w:ascii="Times New Roman" w:hAnsi="Times New Roman"/>
          <w:b/>
          <w:u w:val="single"/>
        </w:rPr>
        <w:t>1. Abertura:</w:t>
      </w:r>
      <w:r>
        <w:rPr>
          <w:rFonts w:ascii="Times New Roman" w:hAnsi="Times New Roman"/>
        </w:rPr>
        <w:t xml:space="preserve">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, após a verificação do quórum, iniciou a 101ª Sessão Plenária Ordinária do CAU/DF. </w:t>
      </w:r>
      <w:r>
        <w:rPr>
          <w:rFonts w:ascii="Times New Roman" w:hAnsi="Times New Roman"/>
          <w:b/>
          <w:u w:val="single"/>
        </w:rPr>
        <w:t>2. Leitura, discussão e aprovação da Pauta:</w:t>
      </w:r>
      <w:r>
        <w:rPr>
          <w:rFonts w:ascii="Times New Roman" w:hAnsi="Times New Roman"/>
        </w:rPr>
        <w:t xml:space="preserve"> O presi</w:t>
      </w:r>
      <w:r>
        <w:rPr>
          <w:rFonts w:ascii="Times New Roman" w:hAnsi="Times New Roman"/>
        </w:rPr>
        <w:t xml:space="preserve">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leu a pauta e perguntou se alguém teria alguma observação, dúvida ou mesmo necessidade de esclarecimento. A pauta foi aprovada por unanimidade, com as seguintes alterações: inclusão dos itens 6) Criação de Comissão de Chama</w:t>
      </w:r>
      <w:r>
        <w:rPr>
          <w:rFonts w:ascii="Times New Roman" w:hAnsi="Times New Roman"/>
        </w:rPr>
        <w:t xml:space="preserve">da de Seleção para Chamada Pública de Patrocínio de ATHIS; 7) </w:t>
      </w:r>
      <w:r>
        <w:rPr>
          <w:rFonts w:ascii="Times New Roman" w:hAnsi="Times New Roman"/>
        </w:rPr>
        <w:t>Criação da Comissão Temporária de Patrimônio; 8) Substituição da coordenação da Comissão Temporária de Assistência Técnica e Política Urbana e Comissão Temporária Brasília 60 anos e 9) Recompos</w:t>
      </w:r>
      <w:r>
        <w:rPr>
          <w:rFonts w:ascii="Times New Roman" w:hAnsi="Times New Roman"/>
        </w:rPr>
        <w:t xml:space="preserve">ição da Comissão de Ética e Disciplina. </w:t>
      </w:r>
      <w:r>
        <w:rPr>
          <w:rFonts w:ascii="Times New Roman" w:hAnsi="Times New Roman"/>
          <w:b/>
          <w:u w:val="single"/>
        </w:rPr>
        <w:t>3. Leitura, discussão e aprovação da Ata da 100ª Sessão Plenária Ordinária do CAU/DF: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Após a adequação do texto, a Ata da 100ª Sessão Plenária do CAU/DF foi aprovada, por unanimidade, com</w:t>
      </w:r>
      <w:r>
        <w:rPr>
          <w:rFonts w:ascii="Times New Roman" w:hAnsi="Times New Roman"/>
          <w:b/>
          <w:highlight w:val="white"/>
        </w:rPr>
        <w:t xml:space="preserve"> 10 votos favoráveis</w:t>
      </w:r>
      <w:r>
        <w:rPr>
          <w:rFonts w:ascii="Times New Roman" w:hAnsi="Times New Roman"/>
          <w:highlight w:val="white"/>
        </w:rPr>
        <w:t xml:space="preserve"> dos cons</w:t>
      </w:r>
      <w:r>
        <w:rPr>
          <w:rFonts w:ascii="Times New Roman" w:hAnsi="Times New Roman"/>
          <w:highlight w:val="white"/>
        </w:rPr>
        <w:t xml:space="preserve">elheiros: André </w:t>
      </w:r>
      <w:proofErr w:type="spellStart"/>
      <w:r>
        <w:rPr>
          <w:rFonts w:ascii="Times New Roman" w:hAnsi="Times New Roman"/>
          <w:highlight w:val="white"/>
        </w:rPr>
        <w:t>Bello</w:t>
      </w:r>
      <w:proofErr w:type="spellEnd"/>
      <w:r>
        <w:rPr>
          <w:rFonts w:ascii="Times New Roman" w:hAnsi="Times New Roman"/>
          <w:highlight w:val="white"/>
        </w:rPr>
        <w:t xml:space="preserve">, Antônio Menezes Júnior,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Fernandes, Gabriela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João Gilberto de Carvalho Accioly, Letícia Miguel Teixeira, Mônica Andréa Blanco, Pedro de Almeida Grilo e Rogério</w:t>
      </w:r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</w:t>
      </w:r>
      <w:r>
        <w:rPr>
          <w:rFonts w:ascii="Times New Roman" w:hAnsi="Times New Roman"/>
          <w:b/>
          <w:highlight w:val="white"/>
        </w:rPr>
        <w:t>00 ausência; 00 voto contrário e 00 abstenção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b/>
          <w:highlight w:val="white"/>
          <w:u w:val="single"/>
        </w:rPr>
        <w:t xml:space="preserve">4. </w:t>
      </w:r>
      <w:r>
        <w:rPr>
          <w:rFonts w:ascii="Times New Roman" w:hAnsi="Times New Roman"/>
          <w:b/>
          <w:u w:val="single"/>
        </w:rPr>
        <w:t xml:space="preserve">Aprovação de </w:t>
      </w:r>
      <w:r>
        <w:rPr>
          <w:rFonts w:ascii="Times New Roman" w:hAnsi="Times New Roman"/>
          <w:b/>
          <w:i/>
          <w:u w:val="single"/>
        </w:rPr>
        <w:t>ad referendum</w:t>
      </w:r>
      <w:r>
        <w:rPr>
          <w:rFonts w:ascii="Times New Roman" w:hAnsi="Times New Roman"/>
          <w:b/>
          <w:u w:val="single"/>
        </w:rPr>
        <w:t xml:space="preserve"> nº 008/2020 que prorroga a suspensão do atendimento ao público na modalidade presencial até o dia 31 de maio de 2020:</w:t>
      </w:r>
      <w:r>
        <w:rPr>
          <w:rFonts w:ascii="Times New Roman" w:hAnsi="Times New Roman"/>
        </w:rPr>
        <w:t xml:space="preserve"> O </w:t>
      </w:r>
      <w:r>
        <w:rPr>
          <w:rFonts w:ascii="Times New Roman" w:hAnsi="Times New Roman"/>
        </w:rPr>
        <w:lastRenderedPageBreak/>
        <w:t xml:space="preserve">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relatou que, após análise minuciosa, a presidência do CAU/DF determinou, através de deliberação </w:t>
      </w:r>
      <w:r>
        <w:rPr>
          <w:rFonts w:ascii="Times New Roman" w:hAnsi="Times New Roman"/>
          <w:i/>
        </w:rPr>
        <w:t>ad referendum</w:t>
      </w:r>
      <w:r>
        <w:rPr>
          <w:rFonts w:ascii="Times New Roman" w:hAnsi="Times New Roman"/>
        </w:rPr>
        <w:t xml:space="preserve"> do Plenário, a prorrogação das medidas de prevenção </w:t>
      </w:r>
      <w:r>
        <w:rPr>
          <w:rFonts w:ascii="Times New Roman" w:hAnsi="Times New Roman"/>
          <w:highlight w:val="white"/>
        </w:rPr>
        <w:t>e redução dos riscos de contaminação do vírus causador da COVID-19</w:t>
      </w:r>
      <w:r>
        <w:rPr>
          <w:rFonts w:ascii="Times New Roman" w:hAnsi="Times New Roman"/>
        </w:rPr>
        <w:t>, como a suspensão do atend</w:t>
      </w:r>
      <w:r>
        <w:rPr>
          <w:rFonts w:ascii="Times New Roman" w:hAnsi="Times New Roman"/>
        </w:rPr>
        <w:t xml:space="preserve">imento ao público, na modalidade presencial, até o dia 31 de maio de 2020. O Plenário do CAU/DF </w:t>
      </w:r>
      <w:r>
        <w:rPr>
          <w:rFonts w:ascii="Times New Roman" w:hAnsi="Times New Roman"/>
          <w:b/>
        </w:rPr>
        <w:t>deliberou</w:t>
      </w:r>
      <w:r>
        <w:rPr>
          <w:rFonts w:ascii="Times New Roman" w:hAnsi="Times New Roman"/>
        </w:rPr>
        <w:t xml:space="preserve"> por</w:t>
      </w:r>
      <w:r>
        <w:rPr>
          <w:rFonts w:ascii="Times New Roman" w:hAnsi="Times New Roman"/>
          <w:highlight w:val="white"/>
        </w:rPr>
        <w:t xml:space="preserve"> referendar os termos da Deliberação Plenária </w:t>
      </w:r>
      <w:r>
        <w:rPr>
          <w:rFonts w:ascii="Times New Roman" w:hAnsi="Times New Roman"/>
          <w:i/>
          <w:highlight w:val="white"/>
        </w:rPr>
        <w:t>Ad Referendum</w:t>
      </w:r>
      <w:r>
        <w:rPr>
          <w:rFonts w:ascii="Times New Roman" w:hAnsi="Times New Roman"/>
          <w:highlight w:val="white"/>
        </w:rPr>
        <w:t xml:space="preserve"> n.º 008/2020, com </w:t>
      </w:r>
      <w:r>
        <w:rPr>
          <w:rFonts w:ascii="Times New Roman" w:hAnsi="Times New Roman"/>
          <w:b/>
          <w:highlight w:val="white"/>
        </w:rPr>
        <w:t>10 votos favoráveis</w:t>
      </w:r>
      <w:r>
        <w:rPr>
          <w:rFonts w:ascii="Times New Roman" w:hAnsi="Times New Roman"/>
          <w:highlight w:val="white"/>
        </w:rPr>
        <w:t xml:space="preserve"> dos conselheiros: André </w:t>
      </w:r>
      <w:proofErr w:type="spellStart"/>
      <w:r>
        <w:rPr>
          <w:rFonts w:ascii="Times New Roman" w:hAnsi="Times New Roman"/>
          <w:highlight w:val="white"/>
        </w:rPr>
        <w:t>Bello</w:t>
      </w:r>
      <w:proofErr w:type="spellEnd"/>
      <w:r>
        <w:rPr>
          <w:rFonts w:ascii="Times New Roman" w:hAnsi="Times New Roman"/>
          <w:highlight w:val="white"/>
        </w:rPr>
        <w:t>, Antônio Menezes Jú</w:t>
      </w:r>
      <w:r>
        <w:rPr>
          <w:rFonts w:ascii="Times New Roman" w:hAnsi="Times New Roman"/>
          <w:highlight w:val="white"/>
        </w:rPr>
        <w:t xml:space="preserve">nior,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Fernandes, Gabriela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</w:t>
      </w:r>
      <w:proofErr w:type="gramStart"/>
      <w:r>
        <w:rPr>
          <w:rFonts w:ascii="Times New Roman" w:hAnsi="Times New Roman"/>
          <w:b/>
          <w:highlight w:val="white"/>
        </w:rPr>
        <w:t>00 ausência</w:t>
      </w:r>
      <w:proofErr w:type="gramEnd"/>
      <w:r>
        <w:rPr>
          <w:rFonts w:ascii="Times New Roman" w:hAnsi="Times New Roman"/>
          <w:b/>
          <w:highlight w:val="white"/>
        </w:rPr>
        <w:t>; 00 voto contrár</w:t>
      </w:r>
      <w:r>
        <w:rPr>
          <w:rFonts w:ascii="Times New Roman" w:hAnsi="Times New Roman"/>
          <w:b/>
          <w:highlight w:val="white"/>
        </w:rPr>
        <w:t>io e 00 abstenção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b/>
          <w:highlight w:val="white"/>
          <w:u w:val="single"/>
        </w:rPr>
        <w:t xml:space="preserve">5. </w:t>
      </w:r>
      <w:r>
        <w:rPr>
          <w:rFonts w:ascii="Times New Roman" w:hAnsi="Times New Roman"/>
          <w:b/>
          <w:u w:val="single"/>
        </w:rPr>
        <w:t>Prorrogação da suspensão do atendimento ao público na modalidade presencial do CAU/DF: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propôs a prorrogação da suspensão do atendimento ao público, na modalidade presencial, até o dia 30 de junh</w:t>
      </w:r>
      <w:r>
        <w:rPr>
          <w:rFonts w:ascii="Times New Roman" w:hAnsi="Times New Roman"/>
        </w:rPr>
        <w:t xml:space="preserve">o de 2020. A analista arquiteta Daniela Borges dos Santos informou que o atendimento presencial agendado e a fiscalização </w:t>
      </w:r>
      <w:r>
        <w:rPr>
          <w:rFonts w:ascii="Times New Roman" w:hAnsi="Times New Roman"/>
          <w:i/>
        </w:rPr>
        <w:t>in loco</w:t>
      </w:r>
      <w:r>
        <w:rPr>
          <w:rFonts w:ascii="Times New Roman" w:hAnsi="Times New Roman"/>
        </w:rPr>
        <w:t xml:space="preserve"> estão sendo realizados em casos estritamente necessários, com os devidos cuidados e equipamentos de segurança. O Plenário do C</w:t>
      </w:r>
      <w:r>
        <w:rPr>
          <w:rFonts w:ascii="Times New Roman" w:hAnsi="Times New Roman"/>
        </w:rPr>
        <w:t xml:space="preserve">AU/DF </w:t>
      </w:r>
      <w:r>
        <w:rPr>
          <w:rFonts w:ascii="Times New Roman" w:hAnsi="Times New Roman"/>
          <w:b/>
        </w:rPr>
        <w:t xml:space="preserve">deliberou </w:t>
      </w:r>
      <w:r>
        <w:rPr>
          <w:rFonts w:ascii="Times New Roman" w:hAnsi="Times New Roman"/>
        </w:rPr>
        <w:t xml:space="preserve">por </w:t>
      </w:r>
      <w:r>
        <w:rPr>
          <w:rFonts w:ascii="Times New Roman" w:hAnsi="Times New Roman"/>
          <w:highlight w:val="white"/>
        </w:rPr>
        <w:t xml:space="preserve">prorrogar a suspensão do atendimento ao Público na modalidade presencial até o dia 30 de junho de 2020; determinar que os atendimentos ao público sejam feitos, preferencialmente, via </w:t>
      </w:r>
      <w:r>
        <w:rPr>
          <w:rFonts w:ascii="Times New Roman" w:hAnsi="Times New Roman"/>
          <w:i/>
          <w:highlight w:val="white"/>
        </w:rPr>
        <w:t>e-mails</w:t>
      </w:r>
      <w:r>
        <w:rPr>
          <w:rFonts w:ascii="Times New Roman" w:hAnsi="Times New Roman"/>
          <w:highlight w:val="white"/>
        </w:rPr>
        <w:t xml:space="preserve"> ou telefone;  fechar as dependências do CAU/D</w:t>
      </w:r>
      <w:r>
        <w:rPr>
          <w:rFonts w:ascii="Times New Roman" w:hAnsi="Times New Roman"/>
          <w:highlight w:val="white"/>
        </w:rPr>
        <w:t xml:space="preserve">F para o público em geral, sem qualquer exceção; prorrogar o regime de trabalho remoto ou </w:t>
      </w:r>
      <w:proofErr w:type="spellStart"/>
      <w:r>
        <w:rPr>
          <w:rFonts w:ascii="Times New Roman" w:hAnsi="Times New Roman"/>
          <w:highlight w:val="white"/>
        </w:rPr>
        <w:t>teletrabalho</w:t>
      </w:r>
      <w:proofErr w:type="spellEnd"/>
      <w:r>
        <w:rPr>
          <w:rFonts w:ascii="Times New Roman" w:hAnsi="Times New Roman"/>
          <w:highlight w:val="white"/>
        </w:rPr>
        <w:t>, de modo preferencial, a todos os empregados, terceirizados e estagiários lotados na Sede do CAU/DF, até o dia 30 de junho de 2020 e manutenção da realiz</w:t>
      </w:r>
      <w:r>
        <w:rPr>
          <w:rFonts w:ascii="Times New Roman" w:hAnsi="Times New Roman"/>
          <w:highlight w:val="white"/>
        </w:rPr>
        <w:t xml:space="preserve">ação das reuniões oficiais do CAU/DF por videoconferência, até o dia 31 de dezembro de 2020, com </w:t>
      </w:r>
      <w:r>
        <w:rPr>
          <w:rFonts w:ascii="Times New Roman" w:hAnsi="Times New Roman"/>
          <w:b/>
          <w:highlight w:val="white"/>
        </w:rPr>
        <w:t>10 votos favoráveis</w:t>
      </w:r>
      <w:r>
        <w:rPr>
          <w:rFonts w:ascii="Times New Roman" w:hAnsi="Times New Roman"/>
          <w:highlight w:val="white"/>
        </w:rPr>
        <w:t xml:space="preserve"> dos conselheiros: André </w:t>
      </w:r>
      <w:proofErr w:type="spellStart"/>
      <w:r>
        <w:rPr>
          <w:rFonts w:ascii="Times New Roman" w:hAnsi="Times New Roman"/>
          <w:highlight w:val="white"/>
        </w:rPr>
        <w:t>Bello</w:t>
      </w:r>
      <w:proofErr w:type="spellEnd"/>
      <w:r>
        <w:rPr>
          <w:rFonts w:ascii="Times New Roman" w:hAnsi="Times New Roman"/>
          <w:highlight w:val="white"/>
        </w:rPr>
        <w:t xml:space="preserve">, Antônio Menezes Júnior,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Fernandes, Gabriela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</w:t>
      </w:r>
      <w:r>
        <w:rPr>
          <w:rFonts w:ascii="Times New Roman" w:hAnsi="Times New Roman"/>
          <w:highlight w:val="white"/>
        </w:rPr>
        <w:t xml:space="preserve">scarenhas, João Gilberto de Carvalho Accioly, Letícia Miguel Teixeira, Mônica Andréa Blanco, Pedro de Almeida Grilo e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ausência;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voto contrário e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abstenção. </w:t>
      </w:r>
      <w:r>
        <w:rPr>
          <w:rFonts w:ascii="Times New Roman" w:hAnsi="Times New Roman"/>
          <w:b/>
          <w:highlight w:val="white"/>
          <w:u w:val="single"/>
        </w:rPr>
        <w:t xml:space="preserve">6. </w:t>
      </w:r>
      <w:r>
        <w:rPr>
          <w:rFonts w:ascii="Times New Roman" w:hAnsi="Times New Roman"/>
          <w:b/>
          <w:u w:val="single"/>
        </w:rPr>
        <w:t>Apresentação de propostas de medidas de contenção em atendimento à D</w:t>
      </w:r>
      <w:r>
        <w:rPr>
          <w:rFonts w:ascii="Times New Roman" w:hAnsi="Times New Roman"/>
          <w:b/>
          <w:u w:val="single"/>
        </w:rPr>
        <w:t>eliberação Plenária do CAU/BR nº 06/2020 (Planilha de Contingenciamento):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JOÃO GILBERTO DE CARVALHO ACCIOLY</w:t>
      </w:r>
      <w:r>
        <w:rPr>
          <w:rFonts w:ascii="Times New Roman" w:hAnsi="Times New Roman"/>
        </w:rPr>
        <w:t xml:space="preserve"> relatou que a Planilha de Contingenciamento apresentada na sessão plenária do mês anterior foi ajustada e apresentada, detalhadamente,</w:t>
      </w:r>
      <w:r>
        <w:rPr>
          <w:rFonts w:ascii="Times New Roman" w:hAnsi="Times New Roman"/>
        </w:rPr>
        <w:t xml:space="preserve"> na reunião do Conselho Diretor do CAU/DF. Informou que as planilhas de contingenciamento detalhadas foram submetidas à análise do CAU/BR. Explicou quais foram os parâmetros propostos pelo CAU/BR </w:t>
      </w:r>
      <w:r>
        <w:rPr>
          <w:rFonts w:ascii="Times New Roman" w:hAnsi="Times New Roman"/>
        </w:rPr>
        <w:lastRenderedPageBreak/>
        <w:t xml:space="preserve">para a elaboração da Planilha de Contingenciamento, como os </w:t>
      </w:r>
      <w:r>
        <w:rPr>
          <w:rFonts w:ascii="Times New Roman" w:hAnsi="Times New Roman"/>
        </w:rPr>
        <w:t>custos fixos do funcionamento do conselho e o percentual mínimo de execução da Assistência Técnica (ATHIS). Apresentou um quadro-resumo da planilha de contingenciamento do CAU/DF que informava quais foram as despesas canceladas, que correspondem a 13,7% da</w:t>
      </w:r>
      <w:r>
        <w:rPr>
          <w:rFonts w:ascii="Times New Roman" w:hAnsi="Times New Roman"/>
        </w:rPr>
        <w:t xml:space="preserve"> despesa total programada, e quais foram as rubricas contingenciadas, que correspondem a 18.7% da despesa total programada. O gerente geral </w:t>
      </w:r>
      <w:r>
        <w:rPr>
          <w:rFonts w:ascii="Times New Roman" w:hAnsi="Times New Roman"/>
          <w:b/>
        </w:rPr>
        <w:t>FLÁVIO SOARES OLIVEIRA</w:t>
      </w:r>
      <w:r>
        <w:rPr>
          <w:rFonts w:ascii="Times New Roman" w:hAnsi="Times New Roman"/>
        </w:rPr>
        <w:t xml:space="preserve"> informou que o CAU/BR não solicitou que as referidas planilhas fossem deliberadas e aprovadas</w:t>
      </w:r>
      <w:r>
        <w:rPr>
          <w:rFonts w:ascii="Times New Roman" w:hAnsi="Times New Roman"/>
        </w:rPr>
        <w:t xml:space="preserve"> antes de serem submetidas à avaliação. O analista financeiro-contábil </w:t>
      </w:r>
      <w:r>
        <w:rPr>
          <w:rFonts w:ascii="Times New Roman" w:hAnsi="Times New Roman"/>
          <w:b/>
        </w:rPr>
        <w:t xml:space="preserve">RAFAEL LEVI AMARAL SANTOS </w:t>
      </w:r>
      <w:r>
        <w:rPr>
          <w:rFonts w:ascii="Times New Roman" w:hAnsi="Times New Roman"/>
        </w:rPr>
        <w:t xml:space="preserve">explicitou os dados técnicos da Planilha de Contingenciamento do CAU/DF. </w:t>
      </w:r>
      <w:r>
        <w:rPr>
          <w:rFonts w:ascii="Times New Roman" w:hAnsi="Times New Roman"/>
          <w:b/>
          <w:u w:val="single"/>
        </w:rPr>
        <w:t>7. Nova Sede do CAU/DF:</w:t>
      </w:r>
      <w:r>
        <w:rPr>
          <w:rFonts w:ascii="Times New Roman" w:hAnsi="Times New Roman"/>
        </w:rPr>
        <w:t xml:space="preserve">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informou que a execuçã</w:t>
      </w:r>
      <w:r>
        <w:rPr>
          <w:rFonts w:ascii="Times New Roman" w:hAnsi="Times New Roman"/>
        </w:rPr>
        <w:t xml:space="preserve">o do projeto da nova sede do CAU/DF está ocorrendo dentro do prazo estabelecido e que foram realizadas novas alterações no projeto básico, com vistas à redução de custos. O gerente geral </w:t>
      </w:r>
      <w:r>
        <w:rPr>
          <w:rFonts w:ascii="Times New Roman" w:hAnsi="Times New Roman"/>
          <w:b/>
        </w:rPr>
        <w:t>FLÁVIO SOARES OLIVEIRA</w:t>
      </w:r>
      <w:r>
        <w:rPr>
          <w:rFonts w:ascii="Times New Roman" w:hAnsi="Times New Roman"/>
        </w:rPr>
        <w:t xml:space="preserve"> ressaltou o empenho da assessora técnica espec</w:t>
      </w:r>
      <w:r>
        <w:rPr>
          <w:rFonts w:ascii="Times New Roman" w:hAnsi="Times New Roman"/>
        </w:rPr>
        <w:t xml:space="preserve">ial </w:t>
      </w:r>
      <w:proofErr w:type="spellStart"/>
      <w:r>
        <w:rPr>
          <w:rFonts w:ascii="Times New Roman" w:hAnsi="Times New Roman"/>
        </w:rPr>
        <w:t>Katianne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Marry</w:t>
      </w:r>
      <w:proofErr w:type="spellEnd"/>
      <w:r>
        <w:rPr>
          <w:rFonts w:ascii="Times New Roman" w:hAnsi="Times New Roman"/>
        </w:rPr>
        <w:t xml:space="preserve"> Ferreira Barbosa, de todos os integrantes do grupo de trabalho da nova sede e das áreas técnicas do CAU/DF para que a execução do projeto ocorra da melhor forma possível, dentro do cronograma estabelecido inicialmente. </w:t>
      </w:r>
      <w:r>
        <w:rPr>
          <w:rFonts w:ascii="Times New Roman" w:hAnsi="Times New Roman"/>
          <w:b/>
          <w:u w:val="single"/>
        </w:rPr>
        <w:t>8. Criação da Comi</w:t>
      </w:r>
      <w:r>
        <w:rPr>
          <w:rFonts w:ascii="Times New Roman" w:hAnsi="Times New Roman"/>
          <w:b/>
          <w:u w:val="single"/>
        </w:rPr>
        <w:t>ssão de Seleção para Chamada Pública de Patrocínio de ATHIS: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A conselheira</w:t>
      </w:r>
      <w:r>
        <w:rPr>
          <w:rFonts w:ascii="Times New Roman" w:hAnsi="Times New Roman"/>
          <w:b/>
        </w:rPr>
        <w:t xml:space="preserve"> LETÍCIA MIGUEL TEIXEIRA</w:t>
      </w:r>
      <w:r>
        <w:rPr>
          <w:rFonts w:ascii="Times New Roman" w:hAnsi="Times New Roman"/>
        </w:rPr>
        <w:t xml:space="preserve"> relatou que parte da dotação orçamentária para ações de </w:t>
      </w:r>
      <w:r>
        <w:rPr>
          <w:rFonts w:ascii="Times New Roman" w:hAnsi="Times New Roman"/>
          <w:highlight w:val="white"/>
        </w:rPr>
        <w:t>Assistência Técnica em Habitação de Interesse Social (ATHIS)</w:t>
      </w:r>
      <w:r>
        <w:rPr>
          <w:rFonts w:ascii="Times New Roman" w:hAnsi="Times New Roman"/>
        </w:rPr>
        <w:t xml:space="preserve"> será utilizada em uma Chamada Pública</w:t>
      </w:r>
      <w:r>
        <w:rPr>
          <w:rFonts w:ascii="Times New Roman" w:hAnsi="Times New Roman"/>
          <w:highlight w:val="white"/>
        </w:rPr>
        <w:t xml:space="preserve"> para patrocínio de projetos de ações em ATHIS, que selecionará projetos de pessoas jurídicas representativas de arquitetos e urbanistas, com sede e atividade no Distrito Federal. Informou que o edital demanda a criação de uma comissão de seleção composta </w:t>
      </w:r>
      <w:r>
        <w:rPr>
          <w:rFonts w:ascii="Times New Roman" w:hAnsi="Times New Roman"/>
          <w:highlight w:val="white"/>
        </w:rPr>
        <w:t>por conselheiros que não participem de entidades interessadas em participar do chamamento público. Afirmou que a Comissão Temporária de Assistência Técnica e Política Urbana - CPUA-CAU/DF não possui indicações para a composição da Comissão de Seleção. O pr</w:t>
      </w:r>
      <w:r>
        <w:rPr>
          <w:rFonts w:ascii="Times New Roman" w:hAnsi="Times New Roman"/>
          <w:highlight w:val="white"/>
        </w:rPr>
        <w:t xml:space="preserve">esidente </w:t>
      </w:r>
      <w:r>
        <w:rPr>
          <w:rFonts w:ascii="Times New Roman" w:hAnsi="Times New Roman"/>
          <w:b/>
          <w:highlight w:val="white"/>
        </w:rPr>
        <w:t>DANIEL MANGABEIRA DA VINHA</w:t>
      </w:r>
      <w:r>
        <w:rPr>
          <w:rFonts w:ascii="Times New Roman" w:hAnsi="Times New Roman"/>
          <w:highlight w:val="white"/>
        </w:rPr>
        <w:t xml:space="preserve"> parabenizou a assessoria jurídica do CAU/DF pela celeridade na formatação do edital da chamada pública. Propôs que a indicação dos membros para compor a Comissão de Seleção para Chamada Pública de Patrocínio em ATHIS </w:t>
      </w:r>
      <w:r>
        <w:rPr>
          <w:rFonts w:ascii="Times New Roman" w:hAnsi="Times New Roman"/>
          <w:highlight w:val="white"/>
        </w:rPr>
        <w:t>ac</w:t>
      </w:r>
      <w:r>
        <w:rPr>
          <w:rFonts w:ascii="Times New Roman" w:hAnsi="Times New Roman"/>
          <w:highlight w:val="white"/>
        </w:rPr>
        <w:t xml:space="preserve">onteça na próxima sessão plenária, para que os conselheiros que não estão presentes possam se manifestar a respeito. </w:t>
      </w:r>
      <w:r>
        <w:rPr>
          <w:rFonts w:ascii="Times New Roman" w:hAnsi="Times New Roman"/>
          <w:b/>
          <w:highlight w:val="white"/>
          <w:u w:val="single"/>
        </w:rPr>
        <w:t>9. Criação da Comissão Temporária de Patrimônio:</w:t>
      </w:r>
      <w:r>
        <w:rPr>
          <w:rFonts w:ascii="Times New Roman" w:hAnsi="Times New Roman"/>
          <w:highlight w:val="white"/>
        </w:rPr>
        <w:t xml:space="preserve"> O presidente </w:t>
      </w:r>
      <w:r>
        <w:rPr>
          <w:rFonts w:ascii="Times New Roman" w:hAnsi="Times New Roman"/>
          <w:b/>
          <w:highlight w:val="white"/>
        </w:rPr>
        <w:t>DANIEL MANGABEIRA DA VINHA</w:t>
      </w:r>
      <w:r>
        <w:rPr>
          <w:rFonts w:ascii="Times New Roman" w:hAnsi="Times New Roman"/>
          <w:highlight w:val="white"/>
        </w:rPr>
        <w:t xml:space="preserve"> apresentou a proposta de criação da Comissão Tempo</w:t>
      </w:r>
      <w:r>
        <w:rPr>
          <w:rFonts w:ascii="Times New Roman" w:hAnsi="Times New Roman"/>
          <w:highlight w:val="white"/>
        </w:rPr>
        <w:t xml:space="preserve">rária de Patrimônio, com o intuito de discutir as interferências no patrimônio arquitetônico de Brasília, orientar e propor medidas de </w:t>
      </w:r>
      <w:r>
        <w:rPr>
          <w:rFonts w:ascii="Times New Roman" w:hAnsi="Times New Roman"/>
          <w:highlight w:val="white"/>
        </w:rPr>
        <w:lastRenderedPageBreak/>
        <w:t>defesa à memória arquitetônica e urbanística da cidade.  Ressaltou a importância de delimitar os temas abordados e as est</w:t>
      </w:r>
      <w:r>
        <w:rPr>
          <w:rFonts w:ascii="Times New Roman" w:hAnsi="Times New Roman"/>
          <w:highlight w:val="white"/>
        </w:rPr>
        <w:t xml:space="preserve">ratégias de atuação da comissão, com o cuidado de evitar a sobreposição de atribuições de outros órgãos. O conselheiro </w:t>
      </w:r>
      <w:r>
        <w:rPr>
          <w:rFonts w:ascii="Times New Roman" w:hAnsi="Times New Roman"/>
          <w:b/>
          <w:highlight w:val="white"/>
        </w:rPr>
        <w:t>PEDRO DE ALMEIDA GRILO</w:t>
      </w:r>
      <w:r>
        <w:rPr>
          <w:rFonts w:ascii="Times New Roman" w:hAnsi="Times New Roman"/>
          <w:highlight w:val="white"/>
        </w:rPr>
        <w:t xml:space="preserve"> propôs uma atuação complementar da Comissão Temporária de Patrimônio com o CEAU/DF e a CPUA-CAU/DF. O Plenário do </w:t>
      </w:r>
      <w:r>
        <w:rPr>
          <w:rFonts w:ascii="Times New Roman" w:hAnsi="Times New Roman"/>
          <w:highlight w:val="white"/>
        </w:rPr>
        <w:t xml:space="preserve">CAU/DF ratificou a importância desta comissão e </w:t>
      </w:r>
      <w:r>
        <w:rPr>
          <w:rFonts w:ascii="Times New Roman" w:hAnsi="Times New Roman"/>
          <w:b/>
          <w:highlight w:val="white"/>
        </w:rPr>
        <w:t>deliberou</w:t>
      </w:r>
      <w:r>
        <w:rPr>
          <w:rFonts w:ascii="Times New Roman" w:hAnsi="Times New Roman"/>
          <w:highlight w:val="white"/>
        </w:rPr>
        <w:t xml:space="preserve"> por aprovar a criação da Comissão Temporária de Patrimônio do CAU/DF, com os seguintes membros: conselheiro Pedro de Almeida Grilo (coordenador), conselheiro Antônio Menezes Júnior, conselheira Gabr</w:t>
      </w:r>
      <w:r>
        <w:rPr>
          <w:rFonts w:ascii="Times New Roman" w:hAnsi="Times New Roman"/>
          <w:highlight w:val="white"/>
        </w:rPr>
        <w:t xml:space="preserve">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 xml:space="preserve">, conselheira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 e conselheiro João Eduardo Martins Dantas, com </w:t>
      </w:r>
      <w:r>
        <w:rPr>
          <w:rFonts w:ascii="Times New Roman" w:hAnsi="Times New Roman"/>
          <w:b/>
          <w:highlight w:val="white"/>
        </w:rPr>
        <w:t>10 votos favoráveis</w:t>
      </w:r>
      <w:r>
        <w:rPr>
          <w:rFonts w:ascii="Times New Roman" w:hAnsi="Times New Roman"/>
          <w:highlight w:val="white"/>
        </w:rPr>
        <w:t xml:space="preserve"> dos conselheiros: André </w:t>
      </w:r>
      <w:proofErr w:type="spellStart"/>
      <w:r>
        <w:rPr>
          <w:rFonts w:ascii="Times New Roman" w:hAnsi="Times New Roman"/>
          <w:highlight w:val="white"/>
        </w:rPr>
        <w:t>Bello</w:t>
      </w:r>
      <w:proofErr w:type="spellEnd"/>
      <w:r>
        <w:rPr>
          <w:rFonts w:ascii="Times New Roman" w:hAnsi="Times New Roman"/>
          <w:highlight w:val="white"/>
        </w:rPr>
        <w:t xml:space="preserve">, Antônio Menezes Júnior,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Fernandes, Gabriela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>, Gisel</w:t>
      </w:r>
      <w:r>
        <w:rPr>
          <w:rFonts w:ascii="Times New Roman" w:hAnsi="Times New Roman"/>
          <w:highlight w:val="white"/>
        </w:rPr>
        <w:t xml:space="preserve">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ausência;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voto contrário e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abstenção. </w:t>
      </w:r>
      <w:r>
        <w:rPr>
          <w:rFonts w:ascii="Times New Roman" w:hAnsi="Times New Roman"/>
          <w:b/>
          <w:highlight w:val="white"/>
          <w:u w:val="single"/>
        </w:rPr>
        <w:t xml:space="preserve">10. </w:t>
      </w:r>
      <w:r>
        <w:rPr>
          <w:rFonts w:ascii="Times New Roman" w:hAnsi="Times New Roman"/>
          <w:b/>
          <w:color w:val="050505"/>
          <w:highlight w:val="white"/>
          <w:u w:val="single"/>
        </w:rPr>
        <w:t xml:space="preserve"> Manifestação sobre o Projeto de Lei n.º 2.396/2020:</w:t>
      </w:r>
      <w:r>
        <w:rPr>
          <w:rFonts w:ascii="Times New Roman" w:hAnsi="Times New Roman"/>
          <w:color w:val="050505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O pr</w:t>
      </w:r>
      <w:r>
        <w:rPr>
          <w:rFonts w:ascii="Times New Roman" w:hAnsi="Times New Roman"/>
          <w:highlight w:val="white"/>
        </w:rPr>
        <w:t xml:space="preserve">esidente </w:t>
      </w:r>
      <w:r>
        <w:rPr>
          <w:rFonts w:ascii="Times New Roman" w:hAnsi="Times New Roman"/>
          <w:b/>
          <w:highlight w:val="white"/>
        </w:rPr>
        <w:t>DANIEL MANGABEIRA DA VINHA</w:t>
      </w:r>
      <w:r>
        <w:rPr>
          <w:rFonts w:ascii="Times New Roman" w:hAnsi="Times New Roman"/>
          <w:highlight w:val="white"/>
        </w:rPr>
        <w:t xml:space="preserve"> colocou em discussão o Projeto de Lei n.º 2.396/2020, de autoria do deputado federal Fábio </w:t>
      </w:r>
      <w:proofErr w:type="spellStart"/>
      <w:r>
        <w:rPr>
          <w:rFonts w:ascii="Times New Roman" w:hAnsi="Times New Roman"/>
          <w:highlight w:val="white"/>
        </w:rPr>
        <w:t>Shiochet</w:t>
      </w:r>
      <w:proofErr w:type="spellEnd"/>
      <w:r>
        <w:rPr>
          <w:rFonts w:ascii="Times New Roman" w:hAnsi="Times New Roman"/>
          <w:highlight w:val="white"/>
        </w:rPr>
        <w:t xml:space="preserve"> (PSL/SC), que propõe alterações significativas no Decreto-Lei n.º 25, de 30 de novembro de 1937 (que organiza a proteção</w:t>
      </w:r>
      <w:r>
        <w:rPr>
          <w:rFonts w:ascii="Times New Roman" w:hAnsi="Times New Roman"/>
          <w:highlight w:val="white"/>
        </w:rPr>
        <w:t xml:space="preserve"> do patrimônio histórico e artístico nacional). Informou que o CAU/SC </w:t>
      </w:r>
      <w:proofErr w:type="gramStart"/>
      <w:r>
        <w:rPr>
          <w:rFonts w:ascii="Times New Roman" w:hAnsi="Times New Roman"/>
          <w:highlight w:val="white"/>
        </w:rPr>
        <w:t>manifestou-se</w:t>
      </w:r>
      <w:proofErr w:type="gramEnd"/>
      <w:r>
        <w:rPr>
          <w:rFonts w:ascii="Times New Roman" w:hAnsi="Times New Roman"/>
          <w:highlight w:val="white"/>
        </w:rPr>
        <w:t xml:space="preserve"> contrário à proposição de alterações no Decreto-Lei n.º 25 e recebeu o apoio do Fórum de Presidentes de CAU/UF. O conselheiro </w:t>
      </w:r>
      <w:r>
        <w:rPr>
          <w:rFonts w:ascii="Times New Roman" w:hAnsi="Times New Roman"/>
          <w:b/>
          <w:highlight w:val="white"/>
        </w:rPr>
        <w:t>ANTÔNIO MENEZES JÚNIOR</w:t>
      </w:r>
      <w:r>
        <w:rPr>
          <w:rFonts w:ascii="Times New Roman" w:hAnsi="Times New Roman"/>
          <w:highlight w:val="white"/>
        </w:rPr>
        <w:t xml:space="preserve"> afirmou que o Projeto d</w:t>
      </w:r>
      <w:r>
        <w:rPr>
          <w:rFonts w:ascii="Times New Roman" w:hAnsi="Times New Roman"/>
          <w:highlight w:val="white"/>
        </w:rPr>
        <w:t xml:space="preserve">e Lei n.º 2.396/2020 traz mudanças preocupantes que, caso aprovadas, terão um grave impacto nas políticas públicas de preservação e </w:t>
      </w:r>
      <w:r>
        <w:rPr>
          <w:rFonts w:ascii="Times New Roman" w:hAnsi="Times New Roman"/>
          <w:highlight w:val="white"/>
        </w:rPr>
        <w:t xml:space="preserve">conservação do patrimônio nacional.  O Plenário do CAU/DF </w:t>
      </w:r>
      <w:r>
        <w:rPr>
          <w:rFonts w:ascii="Times New Roman" w:hAnsi="Times New Roman"/>
          <w:b/>
          <w:highlight w:val="white"/>
        </w:rPr>
        <w:t>posicionou-se</w:t>
      </w:r>
      <w:r>
        <w:rPr>
          <w:rFonts w:ascii="Times New Roman" w:hAnsi="Times New Roman"/>
          <w:highlight w:val="white"/>
        </w:rPr>
        <w:t xml:space="preserve"> a favor da publicação de uma manifestação pública d</w:t>
      </w:r>
      <w:r>
        <w:rPr>
          <w:rFonts w:ascii="Times New Roman" w:hAnsi="Times New Roman"/>
          <w:highlight w:val="white"/>
        </w:rPr>
        <w:t xml:space="preserve">o CAU/DF sobre o Projeto de Lei em trâmite no Congresso Nacional, enfatizando que o PL representa uma ameaça iminente ao Patrimônio Cultural brasileiro. </w:t>
      </w:r>
      <w:r>
        <w:rPr>
          <w:rFonts w:ascii="Times New Roman" w:hAnsi="Times New Roman"/>
          <w:b/>
          <w:highlight w:val="white"/>
          <w:u w:val="single"/>
        </w:rPr>
        <w:t xml:space="preserve">11. </w:t>
      </w:r>
      <w:r>
        <w:rPr>
          <w:rFonts w:ascii="Times New Roman" w:hAnsi="Times New Roman"/>
          <w:b/>
          <w:u w:val="single"/>
        </w:rPr>
        <w:t>Substituição da coordenação da Comissão Temporária de Assistência Técnica e Política Urbana e Comis</w:t>
      </w:r>
      <w:r>
        <w:rPr>
          <w:rFonts w:ascii="Times New Roman" w:hAnsi="Times New Roman"/>
          <w:b/>
          <w:u w:val="single"/>
        </w:rPr>
        <w:t>são Temporária Brasília 60 anos:</w:t>
      </w:r>
      <w:r>
        <w:rPr>
          <w:rFonts w:ascii="Times New Roman" w:hAnsi="Times New Roman"/>
        </w:rPr>
        <w:t xml:space="preserve">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relatou que o art. </w:t>
      </w:r>
      <w:r>
        <w:rPr>
          <w:rFonts w:ascii="Times New Roman" w:hAnsi="Times New Roman"/>
          <w:highlight w:val="white"/>
        </w:rPr>
        <w:t>117, parágrafo 2º, do Regimento Interno do CAU/DF, dispõe que a coordenação das comissões temporárias deve ser ocupada obrigatoriamente por conselheiro titular do C</w:t>
      </w:r>
      <w:r>
        <w:rPr>
          <w:rFonts w:ascii="Times New Roman" w:hAnsi="Times New Roman"/>
          <w:highlight w:val="white"/>
        </w:rPr>
        <w:t>AU/DF. Os representantes da Comissão Temporária de Assistência Técnica e Política Urbana - CPUA-CAU/DF e da Comissão Temporária Brasília 60 anos - CTB-CAU/DF, atualmente coordenadas por conselheiros suplentes do CAU/DF, apresentaram suas indicações para co</w:t>
      </w:r>
      <w:r>
        <w:rPr>
          <w:rFonts w:ascii="Times New Roman" w:hAnsi="Times New Roman"/>
          <w:highlight w:val="white"/>
        </w:rPr>
        <w:t xml:space="preserve">ordenação das comissões. O Plenário do CAU/DF </w:t>
      </w:r>
      <w:r>
        <w:rPr>
          <w:rFonts w:ascii="Times New Roman" w:hAnsi="Times New Roman"/>
          <w:b/>
          <w:highlight w:val="white"/>
        </w:rPr>
        <w:t>deliberou</w:t>
      </w:r>
      <w:r>
        <w:rPr>
          <w:rFonts w:ascii="Times New Roman" w:hAnsi="Times New Roman"/>
          <w:highlight w:val="white"/>
        </w:rPr>
        <w:t xml:space="preserve"> por aprovar os nomes indicados para </w:t>
      </w:r>
      <w:r>
        <w:rPr>
          <w:rFonts w:ascii="Times New Roman" w:hAnsi="Times New Roman"/>
          <w:highlight w:val="white"/>
        </w:rPr>
        <w:lastRenderedPageBreak/>
        <w:t>coordenação da Comissão Temporária de Assistência Técnica e Política Urbana do CAU/DF e da Comissão Temporária Brasília 60 anos do CAU/DF, referente ao exercício de</w:t>
      </w:r>
      <w:r>
        <w:rPr>
          <w:rFonts w:ascii="Times New Roman" w:hAnsi="Times New Roman"/>
          <w:highlight w:val="white"/>
        </w:rPr>
        <w:t xml:space="preserve"> 2020. As comissões supracitadas terão como coordenadores: Comissão Temporária de Assistência Técnica e Política Urbana do CAU/DF - CPUA-CAU/DF: Antônio Menezes Júnior; Comissão Temporária Brasília 60 anos - CTB-CAU/DF: Pedro de Almeida Grilo, com </w:t>
      </w:r>
      <w:r>
        <w:rPr>
          <w:rFonts w:ascii="Times New Roman" w:hAnsi="Times New Roman"/>
          <w:b/>
          <w:highlight w:val="white"/>
        </w:rPr>
        <w:t>10 v</w:t>
      </w:r>
      <w:r>
        <w:rPr>
          <w:rFonts w:ascii="Times New Roman" w:hAnsi="Times New Roman"/>
          <w:b/>
          <w:highlight w:val="white"/>
        </w:rPr>
        <w:t>otos favoráveis</w:t>
      </w:r>
      <w:r>
        <w:rPr>
          <w:rFonts w:ascii="Times New Roman" w:hAnsi="Times New Roman"/>
          <w:highlight w:val="white"/>
        </w:rPr>
        <w:t xml:space="preserve"> dos conselheiros: André </w:t>
      </w:r>
      <w:proofErr w:type="spellStart"/>
      <w:r>
        <w:rPr>
          <w:rFonts w:ascii="Times New Roman" w:hAnsi="Times New Roman"/>
          <w:highlight w:val="white"/>
        </w:rPr>
        <w:t>Bello</w:t>
      </w:r>
      <w:proofErr w:type="spellEnd"/>
      <w:r>
        <w:rPr>
          <w:rFonts w:ascii="Times New Roman" w:hAnsi="Times New Roman"/>
          <w:highlight w:val="white"/>
        </w:rPr>
        <w:t xml:space="preserve">, Antônio Menezes Júnior,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Fernandes, Gabriela de Souza </w:t>
      </w:r>
      <w:proofErr w:type="spellStart"/>
      <w:r>
        <w:rPr>
          <w:rFonts w:ascii="Times New Roman" w:hAnsi="Times New Roman"/>
          <w:highlight w:val="white"/>
        </w:rPr>
        <w:t>Tenorio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João Gilberto de Carvalho Accioly, Letícia Miguel Teixeira, Mônica Andréa Blanco, Pedro de</w:t>
      </w:r>
      <w:r>
        <w:rPr>
          <w:rFonts w:ascii="Times New Roman" w:hAnsi="Times New Roman"/>
          <w:highlight w:val="white"/>
        </w:rPr>
        <w:t xml:space="preserve"> Almeida Grilo e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</w:t>
      </w:r>
      <w:r>
        <w:rPr>
          <w:rFonts w:ascii="Times New Roman" w:hAnsi="Times New Roman"/>
          <w:b/>
          <w:highlight w:val="white"/>
        </w:rPr>
        <w:t>00 ausência; 00 voto contrário e 00 abstenção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b/>
          <w:highlight w:val="white"/>
          <w:u w:val="single"/>
        </w:rPr>
        <w:t>12. Recomposição da Comissão de Ética e Disciplina - CED-CAU/DF:</w:t>
      </w:r>
      <w:r>
        <w:rPr>
          <w:rFonts w:ascii="Times New Roman" w:hAnsi="Times New Roman"/>
          <w:highlight w:val="white"/>
        </w:rPr>
        <w:t xml:space="preserve"> O conselheiro </w:t>
      </w:r>
      <w:r>
        <w:rPr>
          <w:rFonts w:ascii="Times New Roman" w:hAnsi="Times New Roman"/>
          <w:b/>
          <w:highlight w:val="white"/>
        </w:rPr>
        <w:t>ROGÉRIO MARKIEWICZ</w:t>
      </w:r>
      <w:r>
        <w:rPr>
          <w:rFonts w:ascii="Times New Roman" w:hAnsi="Times New Roman"/>
          <w:highlight w:val="white"/>
        </w:rPr>
        <w:t xml:space="preserve"> relembrou a proposição de recomposição da Comissão de Ética e Disciplina d</w:t>
      </w:r>
      <w:r>
        <w:rPr>
          <w:rFonts w:ascii="Times New Roman" w:hAnsi="Times New Roman"/>
          <w:highlight w:val="white"/>
        </w:rPr>
        <w:t xml:space="preserve">o CAU/DF, em pauta na 100ª Sessão Plenária, e propôs que o conselheiro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 acompanhe as atividades da CED-CAU/DF durante o mês de junho até que seja deliberada a nova composição da comissão, na próxima reunião plenária </w:t>
      </w:r>
      <w:r>
        <w:rPr>
          <w:rFonts w:ascii="Times New Roman" w:hAnsi="Times New Roman"/>
          <w:highlight w:val="white"/>
        </w:rPr>
        <w:t>do conselho. Informou que precisará retirar-se da composição da CED-CAU/DF e que gostaria de permanecer acompanhando os trabalhos da comissão como convidado ou consultor. O Plenário do CAU/DF concordou com a proposição de substituição do conselheiro Rogéri</w:t>
      </w:r>
      <w:r>
        <w:rPr>
          <w:rFonts w:ascii="Times New Roman" w:hAnsi="Times New Roman"/>
          <w:highlight w:val="white"/>
        </w:rPr>
        <w:t xml:space="preserve">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 pelo conselheiro Daniel Marcos </w:t>
      </w:r>
      <w:proofErr w:type="spellStart"/>
      <w:r>
        <w:rPr>
          <w:rFonts w:ascii="Times New Roman" w:hAnsi="Times New Roman"/>
          <w:highlight w:val="white"/>
        </w:rPr>
        <w:t>Szwec</w:t>
      </w:r>
      <w:proofErr w:type="spellEnd"/>
      <w:r>
        <w:rPr>
          <w:rFonts w:ascii="Times New Roman" w:hAnsi="Times New Roman"/>
          <w:highlight w:val="white"/>
        </w:rPr>
        <w:t xml:space="preserve"> dos Santos Fernandes na Comissão de Ética </w:t>
      </w:r>
      <w:proofErr w:type="gramStart"/>
      <w:r>
        <w:rPr>
          <w:rFonts w:ascii="Times New Roman" w:hAnsi="Times New Roman"/>
          <w:highlight w:val="white"/>
        </w:rPr>
        <w:t>e Disciplina</w:t>
      </w:r>
      <w:proofErr w:type="gramEnd"/>
      <w:r>
        <w:rPr>
          <w:rFonts w:ascii="Times New Roman" w:hAnsi="Times New Roman"/>
          <w:highlight w:val="white"/>
        </w:rPr>
        <w:t xml:space="preserve"> ser analisada e homologada na 102ª Sessão Plenária do CAU/DF. </w:t>
      </w:r>
      <w:r>
        <w:rPr>
          <w:rFonts w:ascii="Times New Roman" w:hAnsi="Times New Roman"/>
          <w:b/>
          <w:highlight w:val="white"/>
          <w:u w:val="single"/>
        </w:rPr>
        <w:t>13. Apresentação de Comunicações: 13.1. Informes da Presidência:</w:t>
      </w:r>
      <w:r>
        <w:rPr>
          <w:rFonts w:ascii="Times New Roman" w:hAnsi="Times New Roman"/>
          <w:highlight w:val="white"/>
        </w:rPr>
        <w:t xml:space="preserve"> O presidente </w:t>
      </w:r>
      <w:r>
        <w:rPr>
          <w:rFonts w:ascii="Times New Roman" w:hAnsi="Times New Roman"/>
          <w:b/>
          <w:highlight w:val="white"/>
        </w:rPr>
        <w:t>DANIEL MANG</w:t>
      </w:r>
      <w:r>
        <w:rPr>
          <w:rFonts w:ascii="Times New Roman" w:hAnsi="Times New Roman"/>
          <w:b/>
          <w:highlight w:val="white"/>
        </w:rPr>
        <w:t>ABEIRA DA VINHA</w:t>
      </w:r>
      <w:r>
        <w:rPr>
          <w:rFonts w:ascii="Times New Roman" w:hAnsi="Times New Roman"/>
          <w:highlight w:val="white"/>
        </w:rPr>
        <w:t xml:space="preserve"> comunicou que o Calendário Eleitoral do CAU será mantido, sem alterações. Comunicou e alertou os conselheiros sobre o Projeto de Lei n.º 1.263 de 2020, que propõe a redução temporária dos valores de anuidades dos conselhos profissionais, im</w:t>
      </w:r>
      <w:r>
        <w:rPr>
          <w:rFonts w:ascii="Times New Roman" w:hAnsi="Times New Roman"/>
          <w:highlight w:val="white"/>
        </w:rPr>
        <w:t>pactando o funcionamento do CAU/DF de forma considerável. Declarou que redigiu um documento a respeito do PL e seus possíveis desdobramentos, para ser encaminhado aos deputados federais. Solicitou aos presentes que intervenham manifestando-se aos legislado</w:t>
      </w:r>
      <w:r>
        <w:rPr>
          <w:rFonts w:ascii="Times New Roman" w:hAnsi="Times New Roman"/>
          <w:highlight w:val="white"/>
        </w:rPr>
        <w:t>res sobre o Projeto de Lei. Relatou que participou da 5ª Reunião Ordinária de 2020 do Fórum de Presidentes de CAU/UF, onde foram discutidos os planos de contingenciamento e medidas emergenciais de cada estado, com relato de experiências. Relatou que partic</w:t>
      </w:r>
      <w:r>
        <w:rPr>
          <w:rFonts w:ascii="Times New Roman" w:hAnsi="Times New Roman"/>
          <w:highlight w:val="white"/>
        </w:rPr>
        <w:t xml:space="preserve">ipou da 33ª plenária Ampliada do CAU/BR, juntamente com o conselheiro federal Raul Wanderley Gradim, na qual foram debatidas </w:t>
      </w:r>
      <w:r>
        <w:rPr>
          <w:rFonts w:ascii="Times New Roman" w:hAnsi="Times New Roman"/>
          <w:color w:val="050505"/>
          <w:highlight w:val="white"/>
        </w:rPr>
        <w:t>ações conjuntas do CAU/BR e dos CAU/</w:t>
      </w:r>
      <w:proofErr w:type="spellStart"/>
      <w:r>
        <w:rPr>
          <w:rFonts w:ascii="Times New Roman" w:hAnsi="Times New Roman"/>
          <w:color w:val="050505"/>
          <w:highlight w:val="white"/>
        </w:rPr>
        <w:t>UFs</w:t>
      </w:r>
      <w:proofErr w:type="spellEnd"/>
      <w:r>
        <w:rPr>
          <w:rFonts w:ascii="Times New Roman" w:hAnsi="Times New Roman"/>
          <w:color w:val="050505"/>
          <w:highlight w:val="white"/>
        </w:rPr>
        <w:t xml:space="preserve"> para enfrentamento da emergência de saúde pública decorrente da COVID-19, uma das demandas </w:t>
      </w:r>
      <w:r>
        <w:rPr>
          <w:rFonts w:ascii="Times New Roman" w:hAnsi="Times New Roman"/>
          <w:color w:val="050505"/>
          <w:highlight w:val="white"/>
        </w:rPr>
        <w:t xml:space="preserve">do Fórum de Presidentes. </w:t>
      </w:r>
      <w:r>
        <w:rPr>
          <w:rFonts w:ascii="Times New Roman" w:hAnsi="Times New Roman"/>
          <w:color w:val="050505"/>
          <w:highlight w:val="white"/>
        </w:rPr>
        <w:lastRenderedPageBreak/>
        <w:t xml:space="preserve">Parabenizou o conselheiro federal e coordenador da Comissão Ordinária de Planejamento e Finanças - </w:t>
      </w:r>
      <w:proofErr w:type="spellStart"/>
      <w:r>
        <w:rPr>
          <w:rFonts w:ascii="Times New Roman" w:hAnsi="Times New Roman"/>
          <w:color w:val="050505"/>
          <w:highlight w:val="white"/>
        </w:rPr>
        <w:t>CPFi</w:t>
      </w:r>
      <w:proofErr w:type="spellEnd"/>
      <w:r>
        <w:rPr>
          <w:rFonts w:ascii="Times New Roman" w:hAnsi="Times New Roman"/>
          <w:color w:val="050505"/>
          <w:highlight w:val="white"/>
        </w:rPr>
        <w:t>-CAU/BR, Raul Wanderley Gradim, pelo seu posicionamento, bem como suas explanações a respeito do suporte administrativo e financ</w:t>
      </w:r>
      <w:r>
        <w:rPr>
          <w:rFonts w:ascii="Times New Roman" w:hAnsi="Times New Roman"/>
          <w:color w:val="050505"/>
          <w:highlight w:val="white"/>
        </w:rPr>
        <w:t>eiro do CAU/BR aos CAU/</w:t>
      </w:r>
      <w:proofErr w:type="spellStart"/>
      <w:r>
        <w:rPr>
          <w:rFonts w:ascii="Times New Roman" w:hAnsi="Times New Roman"/>
          <w:color w:val="050505"/>
          <w:highlight w:val="white"/>
        </w:rPr>
        <w:t>UFs</w:t>
      </w:r>
      <w:proofErr w:type="spellEnd"/>
      <w:r>
        <w:rPr>
          <w:rFonts w:ascii="Times New Roman" w:hAnsi="Times New Roman"/>
          <w:color w:val="050505"/>
          <w:highlight w:val="white"/>
        </w:rPr>
        <w:t xml:space="preserve"> quanto ao contingenciamento de despesas e a manutenção dos conselhos. Declarou que o conselheiro federal deixou claro que o CAU/BR, assim como os CAU/</w:t>
      </w:r>
      <w:proofErr w:type="spellStart"/>
      <w:r>
        <w:rPr>
          <w:rFonts w:ascii="Times New Roman" w:hAnsi="Times New Roman"/>
          <w:color w:val="050505"/>
          <w:highlight w:val="white"/>
        </w:rPr>
        <w:t>UFs</w:t>
      </w:r>
      <w:proofErr w:type="spellEnd"/>
      <w:r>
        <w:rPr>
          <w:rFonts w:ascii="Times New Roman" w:hAnsi="Times New Roman"/>
          <w:color w:val="050505"/>
          <w:highlight w:val="white"/>
        </w:rPr>
        <w:t>, deve contingenciar e monitorar as suas despesas. Agradeceu aos conselheiro</w:t>
      </w:r>
      <w:r>
        <w:rPr>
          <w:rFonts w:ascii="Times New Roman" w:hAnsi="Times New Roman"/>
          <w:color w:val="050505"/>
          <w:highlight w:val="white"/>
        </w:rPr>
        <w:t xml:space="preserve">s e todo o corpo técnico do CAU/DF e ressaltou a importância da atuação de todos, destacando que esta gestão está se dedicando para entregar à próxima gestão um conselho sadio e com menos intricado. </w:t>
      </w:r>
      <w:r>
        <w:rPr>
          <w:rFonts w:ascii="Times New Roman" w:hAnsi="Times New Roman"/>
          <w:b/>
          <w:highlight w:val="white"/>
          <w:u w:val="single"/>
        </w:rPr>
        <w:t>13.2. Informes da Vice-Presidência:</w:t>
      </w:r>
      <w:r>
        <w:rPr>
          <w:rFonts w:ascii="Times New Roman" w:hAnsi="Times New Roman"/>
          <w:highlight w:val="white"/>
        </w:rPr>
        <w:t xml:space="preserve"> A vice-presidente </w:t>
      </w:r>
      <w:r>
        <w:rPr>
          <w:rFonts w:ascii="Times New Roman" w:hAnsi="Times New Roman"/>
          <w:b/>
          <w:highlight w:val="white"/>
        </w:rPr>
        <w:t>MÔN</w:t>
      </w:r>
      <w:r>
        <w:rPr>
          <w:rFonts w:ascii="Times New Roman" w:hAnsi="Times New Roman"/>
          <w:b/>
          <w:highlight w:val="white"/>
        </w:rPr>
        <w:t>ICA ANDRÉA BLANCO</w:t>
      </w:r>
      <w:r>
        <w:rPr>
          <w:rFonts w:ascii="Times New Roman" w:hAnsi="Times New Roman"/>
          <w:highlight w:val="white"/>
        </w:rPr>
        <w:t xml:space="preserve"> relatou que na reunião deste mês do Grupo de Trabalho de Planejamento Estratégico - GTPE-CAU/BR tratou sobre os planos de contingenciamento de despesas dos CAU/UF e a posição do CAU/BR frente a iminente crise econômica que os conselhos já</w:t>
      </w:r>
      <w:r>
        <w:rPr>
          <w:rFonts w:ascii="Times New Roman" w:hAnsi="Times New Roman"/>
          <w:highlight w:val="white"/>
        </w:rPr>
        <w:t xml:space="preserve"> enfrentam ou irão enfrentar brevemente. </w:t>
      </w:r>
      <w:r>
        <w:rPr>
          <w:rFonts w:ascii="Times New Roman" w:hAnsi="Times New Roman"/>
          <w:b/>
          <w:u w:val="single"/>
        </w:rPr>
        <w:t>13.3. Dos coordenadores de comissões permanentes: 13.3.1. Do coordenador da Comissão de Administração, Planejamento e Finanças - CAF-CAU/DF: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JOÃO GILBERTO DE CARVALHO ACCIOLY</w:t>
      </w:r>
      <w:r>
        <w:rPr>
          <w:rFonts w:ascii="Times New Roman" w:hAnsi="Times New Roman"/>
        </w:rPr>
        <w:t xml:space="preserve"> relatou que a comissão apr</w:t>
      </w:r>
      <w:r>
        <w:rPr>
          <w:rFonts w:ascii="Times New Roman" w:hAnsi="Times New Roman"/>
        </w:rPr>
        <w:t>eciou as planilhas de medida de contenção de despesas e o relatório de arrecadação e despesa do mês de abril de 2020, que apontou uma queda na arrecadação de 42% (quarenta e dois por cento), comparado ao valor prospectado para o mesmo período. Informou que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highlight w:val="white"/>
        </w:rPr>
        <w:t>o Banco do Brasil reembolsou ao CAU/DF, integralmente, os valores despendidos em taxas bancárias de aprazamento de mais de 3.200 boletos de anuidade, totalizando R$ 17.352,20 (dezessete mil, trezentos e cinquenta e dois reais e vinte centavos). Parabenizo</w:t>
      </w:r>
      <w:r>
        <w:rPr>
          <w:rFonts w:ascii="Times New Roman" w:hAnsi="Times New Roman"/>
          <w:highlight w:val="white"/>
        </w:rPr>
        <w:t xml:space="preserve">u a equipe técnica do CAU/DF pela negociação com o Banco do Brasil. </w:t>
      </w:r>
      <w:r>
        <w:rPr>
          <w:rFonts w:ascii="Times New Roman" w:hAnsi="Times New Roman"/>
          <w:b/>
          <w:u w:val="single"/>
        </w:rPr>
        <w:t>13.3.2.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Do coordenador da Comissão de Ética e Disciplina - CED-CAU/DF: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ANTÔNIO MENEZES JÚNIOR</w:t>
      </w:r>
      <w:r>
        <w:rPr>
          <w:rFonts w:ascii="Times New Roman" w:hAnsi="Times New Roman"/>
        </w:rPr>
        <w:t xml:space="preserve"> relatou que a CED deu andamento aos seus trâmites ordinários, com uma média de 4 processos relatados a cada reunião. Informou que a CED-CAU/DF foi convidada pelo arquiteto e urbanista Ricardo Reis Meira para participar de um vídeo ao vivo na rede social </w:t>
      </w:r>
      <w:proofErr w:type="spellStart"/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</w:rPr>
        <w:t>nstagram</w:t>
      </w:r>
      <w:proofErr w:type="spellEnd"/>
      <w:r>
        <w:rPr>
          <w:rFonts w:ascii="Times New Roman" w:hAnsi="Times New Roman"/>
        </w:rPr>
        <w:t xml:space="preserve">, que tratará sobre as principais questões éticas do exercício profissional. </w:t>
      </w:r>
      <w:r>
        <w:rPr>
          <w:rFonts w:ascii="Times New Roman" w:hAnsi="Times New Roman"/>
          <w:b/>
          <w:u w:val="single"/>
        </w:rPr>
        <w:t>13.3.3. Da coordenadora da Comissão de Ensino e Formação - CEF-CAU/DF:</w:t>
      </w:r>
      <w:r>
        <w:rPr>
          <w:rFonts w:ascii="Times New Roman" w:hAnsi="Times New Roman"/>
        </w:rPr>
        <w:t xml:space="preserve"> A conselheira </w:t>
      </w:r>
      <w:r>
        <w:rPr>
          <w:rFonts w:ascii="Times New Roman" w:hAnsi="Times New Roman"/>
          <w:b/>
        </w:rPr>
        <w:t>GABRIELA DE SOUZA TENORIO</w:t>
      </w:r>
      <w:r>
        <w:rPr>
          <w:rFonts w:ascii="Times New Roman" w:hAnsi="Times New Roman"/>
        </w:rPr>
        <w:t xml:space="preserve"> relatou que a comissão finalizou a minuta do edital de premi</w:t>
      </w:r>
      <w:r>
        <w:rPr>
          <w:rFonts w:ascii="Times New Roman" w:hAnsi="Times New Roman"/>
        </w:rPr>
        <w:t xml:space="preserve">ação de trabalhos de conclusão de curso de estudantes de arquitetura e urbanismo do Distrito Federal, que será encaminhada para a análise da assessoria jurídica do CAU/DF. Declarou que o edital será submetido </w:t>
      </w:r>
      <w:r w:rsidR="00DE4279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aprovação após a análise jurídica e que o con</w:t>
      </w:r>
      <w:r>
        <w:rPr>
          <w:rFonts w:ascii="Times New Roman" w:hAnsi="Times New Roman"/>
        </w:rPr>
        <w:t xml:space="preserve">curso será lançado futuramente, em momento oportuno. Comunicou que </w:t>
      </w:r>
      <w:r w:rsidR="00E3540B">
        <w:rPr>
          <w:rFonts w:ascii="Times New Roman" w:hAnsi="Times New Roman"/>
        </w:rPr>
        <w:lastRenderedPageBreak/>
        <w:t>representará o CAU/DF</w:t>
      </w:r>
      <w:r>
        <w:rPr>
          <w:rFonts w:ascii="Times New Roman" w:hAnsi="Times New Roman"/>
        </w:rPr>
        <w:t xml:space="preserve"> em um debate sobre Educação a Distância (</w:t>
      </w:r>
      <w:proofErr w:type="spellStart"/>
      <w:r>
        <w:rPr>
          <w:rFonts w:ascii="Times New Roman" w:hAnsi="Times New Roman"/>
        </w:rPr>
        <w:t>EaD</w:t>
      </w:r>
      <w:proofErr w:type="spellEnd"/>
      <w:r>
        <w:rPr>
          <w:rFonts w:ascii="Times New Roman" w:hAnsi="Times New Roman"/>
        </w:rPr>
        <w:t xml:space="preserve">), promovido pelo IAB/DF, no dia 26 de maio de 2020. </w:t>
      </w:r>
      <w:r>
        <w:rPr>
          <w:rFonts w:ascii="Times New Roman" w:hAnsi="Times New Roman"/>
          <w:b/>
          <w:u w:val="single"/>
        </w:rPr>
        <w:t>13.3.3. Do coordenador da Comissão de Exercício Profissional - CEP-CAU</w:t>
      </w:r>
      <w:r>
        <w:rPr>
          <w:rFonts w:ascii="Times New Roman" w:hAnsi="Times New Roman"/>
          <w:b/>
          <w:u w:val="single"/>
        </w:rPr>
        <w:t>/DF: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ROGÉRIO MARKIEWICZ</w:t>
      </w:r>
      <w:r>
        <w:rPr>
          <w:rFonts w:ascii="Times New Roman" w:hAnsi="Times New Roman"/>
        </w:rPr>
        <w:t xml:space="preserve"> indicou o progresso dos processos que estão em andamento e o andamento normalizado dos procedimentos de denúncias, notificações, fiscalização das empresas pela internet e acompanhamento das nomeações do Diário oficial </w:t>
      </w:r>
      <w:r>
        <w:rPr>
          <w:rFonts w:ascii="Times New Roman" w:hAnsi="Times New Roman"/>
        </w:rPr>
        <w:t>do Distrito Federal (DODF), realizados pela Gerência de Fiscalização do CAU/DF. Comunicou que a CEP-CAU/DF está avaliando os vídeos já finalizados da campanha de valorização dos arquitetos servidores públicos, que ainda não possui uma data fixada para o la</w:t>
      </w:r>
      <w:r>
        <w:rPr>
          <w:rFonts w:ascii="Times New Roman" w:hAnsi="Times New Roman"/>
        </w:rPr>
        <w:t xml:space="preserve">nçamento. </w:t>
      </w:r>
      <w:r>
        <w:rPr>
          <w:rFonts w:ascii="Times New Roman" w:hAnsi="Times New Roman"/>
          <w:b/>
          <w:u w:val="single"/>
        </w:rPr>
        <w:t>13.4. Dos coordenadores de comissões temporárias: 13.4.1 Da Comissão Temporária Brasília 60 Anos: CTB-CAU/DF: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 xml:space="preserve">ANDRÉ VELLOSO RAMOS </w:t>
      </w:r>
      <w:r>
        <w:rPr>
          <w:rFonts w:ascii="Times New Roman" w:hAnsi="Times New Roman"/>
        </w:rPr>
        <w:t xml:space="preserve">relatou que a comissão não se reuniu ordinariamente neste mês. </w:t>
      </w:r>
      <w:r>
        <w:rPr>
          <w:rFonts w:ascii="Times New Roman" w:hAnsi="Times New Roman"/>
          <w:b/>
          <w:u w:val="single"/>
        </w:rPr>
        <w:t>13.4.2 Da Comissão Temporária de Assist</w:t>
      </w:r>
      <w:r>
        <w:rPr>
          <w:rFonts w:ascii="Times New Roman" w:hAnsi="Times New Roman"/>
          <w:b/>
          <w:u w:val="single"/>
        </w:rPr>
        <w:t>ência Técnica e Política Urbana - CPUA-CAU/DF:</w:t>
      </w:r>
      <w:r>
        <w:rPr>
          <w:rFonts w:ascii="Times New Roman" w:hAnsi="Times New Roman"/>
        </w:rPr>
        <w:t xml:space="preserve"> A conselheira </w:t>
      </w:r>
      <w:r>
        <w:rPr>
          <w:rFonts w:ascii="Times New Roman" w:hAnsi="Times New Roman"/>
          <w:b/>
        </w:rPr>
        <w:t>LETÍCIA MIGUEL TEIXEIRA</w:t>
      </w:r>
      <w:r>
        <w:rPr>
          <w:rFonts w:ascii="Times New Roman" w:hAnsi="Times New Roman"/>
        </w:rPr>
        <w:t xml:space="preserve"> informou que comissão trabalha na finalização de uma cartilha baseada no produto final entregue pela consultoria contratada para elaborar um </w:t>
      </w:r>
      <w:r>
        <w:rPr>
          <w:rFonts w:ascii="Times New Roman" w:hAnsi="Times New Roman"/>
          <w:color w:val="050505"/>
          <w:highlight w:val="white"/>
        </w:rPr>
        <w:t>modelo de negócio para escritó</w:t>
      </w:r>
      <w:r>
        <w:rPr>
          <w:rFonts w:ascii="Times New Roman" w:hAnsi="Times New Roman"/>
          <w:color w:val="050505"/>
          <w:highlight w:val="white"/>
        </w:rPr>
        <w:t xml:space="preserve">rios populares. Informou que a cartilha será disponibilizada </w:t>
      </w:r>
      <w:r>
        <w:rPr>
          <w:rFonts w:ascii="Times New Roman" w:hAnsi="Times New Roman"/>
          <w:i/>
          <w:color w:val="050505"/>
          <w:highlight w:val="white"/>
        </w:rPr>
        <w:t>on-line</w:t>
      </w:r>
      <w:r>
        <w:rPr>
          <w:rFonts w:ascii="Times New Roman" w:hAnsi="Times New Roman"/>
          <w:color w:val="050505"/>
          <w:highlight w:val="white"/>
        </w:rPr>
        <w:t xml:space="preserve">, brevemente. Afirmou que a ABAP-DF apresentará à CPUA-CAU/DF, em uma reunião extraordinária, uma proposta de ação conjunta de arborização urbana. Relatou que os demais pontos tratados na </w:t>
      </w:r>
      <w:r>
        <w:rPr>
          <w:rFonts w:ascii="Times New Roman" w:hAnsi="Times New Roman"/>
          <w:color w:val="050505"/>
          <w:highlight w:val="white"/>
        </w:rPr>
        <w:t>reunião foram o chamamento público de patrocínio de ATHIS e a proposta de republicação do livro “</w:t>
      </w:r>
      <w:r>
        <w:rPr>
          <w:rFonts w:ascii="Times New Roman" w:hAnsi="Times New Roman"/>
          <w:i/>
          <w:color w:val="050505"/>
          <w:highlight w:val="white"/>
        </w:rPr>
        <w:t>Assistência Técnica em Urbanismo e Arquitetura de Interesse Social: anotações sobre o processo de imersão da equipe técnica da CODHAB nas periferias do Distrit</w:t>
      </w:r>
      <w:r>
        <w:rPr>
          <w:rFonts w:ascii="Times New Roman" w:hAnsi="Times New Roman"/>
          <w:i/>
          <w:color w:val="050505"/>
          <w:highlight w:val="white"/>
        </w:rPr>
        <w:t>o Federal</w:t>
      </w:r>
      <w:r>
        <w:rPr>
          <w:rFonts w:ascii="Times New Roman" w:hAnsi="Times New Roman"/>
          <w:color w:val="050505"/>
          <w:highlight w:val="white"/>
        </w:rPr>
        <w:t xml:space="preserve">”, com patrocínio do CAU/BR. </w:t>
      </w:r>
      <w:r>
        <w:rPr>
          <w:rFonts w:ascii="Times New Roman" w:hAnsi="Times New Roman"/>
          <w:b/>
          <w:color w:val="050505"/>
          <w:highlight w:val="white"/>
          <w:u w:val="single"/>
        </w:rPr>
        <w:t>13.4.3. Da Comissão Temporária de Equidade de Gênero - CTEG-CAU/DF:</w:t>
      </w:r>
      <w:r>
        <w:rPr>
          <w:rFonts w:ascii="Times New Roman" w:hAnsi="Times New Roman"/>
          <w:color w:val="050505"/>
          <w:highlight w:val="white"/>
        </w:rPr>
        <w:t xml:space="preserve"> A conselheira LETÍCIA MIGUEL TEIXEIRA relatou que a comissão pretende realizar uma pesquisa sobre o panorama da atuação das arquitetas durante o perío</w:t>
      </w:r>
      <w:r>
        <w:rPr>
          <w:rFonts w:ascii="Times New Roman" w:hAnsi="Times New Roman"/>
          <w:color w:val="050505"/>
          <w:highlight w:val="white"/>
        </w:rPr>
        <w:t xml:space="preserve">do da pandemia do novo </w:t>
      </w:r>
      <w:proofErr w:type="spellStart"/>
      <w:r>
        <w:rPr>
          <w:rFonts w:ascii="Times New Roman" w:hAnsi="Times New Roman"/>
          <w:color w:val="050505"/>
          <w:highlight w:val="white"/>
        </w:rPr>
        <w:t>coronavírus</w:t>
      </w:r>
      <w:proofErr w:type="spellEnd"/>
      <w:r>
        <w:rPr>
          <w:rFonts w:ascii="Times New Roman" w:hAnsi="Times New Roman"/>
          <w:color w:val="050505"/>
          <w:highlight w:val="white"/>
        </w:rPr>
        <w:t xml:space="preserve">, com base em relatórios técnicos do CAU. </w:t>
      </w:r>
      <w:r>
        <w:rPr>
          <w:rFonts w:ascii="Times New Roman" w:hAnsi="Times New Roman"/>
          <w:b/>
          <w:u w:val="single"/>
        </w:rPr>
        <w:t>13.5. Do conselheiro federal: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RAUL WANDERLEY GRADIM</w:t>
      </w:r>
      <w:r>
        <w:rPr>
          <w:rFonts w:ascii="Times New Roman" w:hAnsi="Times New Roman"/>
        </w:rPr>
        <w:t xml:space="preserve"> relatou que a queda de arrecadação dos CAU/</w:t>
      </w:r>
      <w:proofErr w:type="spellStart"/>
      <w:r>
        <w:rPr>
          <w:rFonts w:ascii="Times New Roman" w:hAnsi="Times New Roman"/>
        </w:rPr>
        <w:t>UFs</w:t>
      </w:r>
      <w:proofErr w:type="spellEnd"/>
      <w:r>
        <w:rPr>
          <w:rFonts w:ascii="Times New Roman" w:hAnsi="Times New Roman"/>
        </w:rPr>
        <w:t xml:space="preserve"> tem sido a principal preocupação da </w:t>
      </w:r>
      <w:r>
        <w:rPr>
          <w:rFonts w:ascii="Times New Roman" w:hAnsi="Times New Roman"/>
          <w:color w:val="050505"/>
          <w:highlight w:val="white"/>
        </w:rPr>
        <w:t>Comissão Ordinária de Planejame</w:t>
      </w:r>
      <w:r>
        <w:rPr>
          <w:rFonts w:ascii="Times New Roman" w:hAnsi="Times New Roman"/>
          <w:color w:val="050505"/>
          <w:highlight w:val="white"/>
        </w:rPr>
        <w:t xml:space="preserve">nto e Finanças - </w:t>
      </w:r>
      <w:proofErr w:type="spellStart"/>
      <w:r>
        <w:rPr>
          <w:rFonts w:ascii="Times New Roman" w:hAnsi="Times New Roman"/>
          <w:color w:val="050505"/>
          <w:highlight w:val="white"/>
        </w:rPr>
        <w:t>CPFi</w:t>
      </w:r>
      <w:proofErr w:type="spellEnd"/>
      <w:r>
        <w:rPr>
          <w:rFonts w:ascii="Times New Roman" w:hAnsi="Times New Roman"/>
          <w:color w:val="050505"/>
          <w:highlight w:val="white"/>
        </w:rPr>
        <w:t xml:space="preserve">-CAU/BR, com constantes consultas jurídicas e readequação do plano de contingenciamento do CAU/BR, que já alcançou uma redução de despesa corrente de 20.6%. Informou que está em andamento a criação de uma resolução da </w:t>
      </w:r>
      <w:proofErr w:type="spellStart"/>
      <w:r>
        <w:rPr>
          <w:rFonts w:ascii="Times New Roman" w:hAnsi="Times New Roman"/>
          <w:color w:val="050505"/>
          <w:highlight w:val="white"/>
        </w:rPr>
        <w:t>CPFi</w:t>
      </w:r>
      <w:proofErr w:type="spellEnd"/>
      <w:r>
        <w:rPr>
          <w:rFonts w:ascii="Times New Roman" w:hAnsi="Times New Roman"/>
          <w:color w:val="050505"/>
          <w:highlight w:val="white"/>
        </w:rPr>
        <w:t>-CAU/BR que a</w:t>
      </w:r>
      <w:r>
        <w:rPr>
          <w:rFonts w:ascii="Times New Roman" w:hAnsi="Times New Roman"/>
          <w:color w:val="050505"/>
          <w:highlight w:val="white"/>
        </w:rPr>
        <w:t xml:space="preserve">utorize, mediante algumas condições, a utilização de </w:t>
      </w:r>
      <w:r>
        <w:rPr>
          <w:rFonts w:ascii="Times New Roman" w:hAnsi="Times New Roman"/>
          <w:i/>
          <w:color w:val="050505"/>
          <w:highlight w:val="white"/>
        </w:rPr>
        <w:t>superávit</w:t>
      </w:r>
      <w:r>
        <w:rPr>
          <w:rFonts w:ascii="Times New Roman" w:hAnsi="Times New Roman"/>
          <w:color w:val="050505"/>
          <w:highlight w:val="white"/>
        </w:rPr>
        <w:t xml:space="preserve"> financeiro em despesas correntes. Comunicou que a consulta sobre a revisão e alterações na Resolução CAU/BR n.º 121 será encaminhada em breve. Relatou que </w:t>
      </w:r>
      <w:r>
        <w:rPr>
          <w:rFonts w:ascii="Times New Roman" w:hAnsi="Times New Roman"/>
          <w:color w:val="050505"/>
          <w:highlight w:val="white"/>
        </w:rPr>
        <w:lastRenderedPageBreak/>
        <w:t>compartilhou com os conselheiros distr</w:t>
      </w:r>
      <w:r>
        <w:rPr>
          <w:rFonts w:ascii="Times New Roman" w:hAnsi="Times New Roman"/>
          <w:color w:val="050505"/>
          <w:highlight w:val="white"/>
        </w:rPr>
        <w:t xml:space="preserve">itais os contatos de vinte e um líderes de bancada do Congresso Nacional, coletados pela assessoria de relações institucionais e parlamentares do CAU/BR, a fim de facilitar o contato e o envio de apelos sobre o </w:t>
      </w:r>
      <w:r>
        <w:rPr>
          <w:rFonts w:ascii="Times New Roman" w:hAnsi="Times New Roman"/>
          <w:highlight w:val="white"/>
        </w:rPr>
        <w:t>Projeto de Lei n.º 1.263 de 2020. Agradeceu a</w:t>
      </w:r>
      <w:r>
        <w:rPr>
          <w:rFonts w:ascii="Times New Roman" w:hAnsi="Times New Roman"/>
          <w:highlight w:val="white"/>
        </w:rPr>
        <w:t xml:space="preserve"> congratulação feita pela presidência e vice-presidência do CAU/DF.</w:t>
      </w:r>
      <w:r>
        <w:rPr>
          <w:rFonts w:ascii="Times New Roman" w:hAnsi="Times New Roman"/>
          <w:color w:val="050505"/>
          <w:highlight w:val="white"/>
        </w:rPr>
        <w:t xml:space="preserve"> </w:t>
      </w:r>
      <w:r>
        <w:rPr>
          <w:rFonts w:ascii="Times New Roman" w:hAnsi="Times New Roman"/>
          <w:b/>
          <w:u w:val="single"/>
        </w:rPr>
        <w:t>13.6. Do CEAU-CAU/DF:</w:t>
      </w:r>
      <w:r>
        <w:rPr>
          <w:rFonts w:ascii="Times New Roman" w:hAnsi="Times New Roman"/>
        </w:rPr>
        <w:t xml:space="preserve"> A vice-presidente </w:t>
      </w:r>
      <w:r>
        <w:rPr>
          <w:rFonts w:ascii="Times New Roman" w:hAnsi="Times New Roman"/>
          <w:b/>
        </w:rPr>
        <w:t>MÔNICA ANDRÉA BLANCO</w:t>
      </w:r>
      <w:r>
        <w:rPr>
          <w:rFonts w:ascii="Times New Roman" w:hAnsi="Times New Roman"/>
        </w:rPr>
        <w:t xml:space="preserve"> relatou que a minuta do edital para o concurso da logomarca do CEAU/DF será feita coletivamente pelos representantes das entida</w:t>
      </w:r>
      <w:r>
        <w:rPr>
          <w:rFonts w:ascii="Times New Roman" w:hAnsi="Times New Roman"/>
        </w:rPr>
        <w:t xml:space="preserve">des participantes do colegiado. Informou que o representante da </w:t>
      </w:r>
      <w:proofErr w:type="spellStart"/>
      <w:r w:rsidR="007213E9">
        <w:rPr>
          <w:rFonts w:ascii="Times New Roman" w:hAnsi="Times New Roman"/>
        </w:rPr>
        <w:t>FeNEA</w:t>
      </w:r>
      <w:proofErr w:type="spellEnd"/>
      <w:r w:rsidR="007213E9">
        <w:rPr>
          <w:rFonts w:ascii="Times New Roman" w:hAnsi="Times New Roman"/>
        </w:rPr>
        <w:t xml:space="preserve"> - Regional Centro, André T</w:t>
      </w:r>
      <w:r>
        <w:rPr>
          <w:rFonts w:ascii="Times New Roman" w:hAnsi="Times New Roman"/>
        </w:rPr>
        <w:t xml:space="preserve">avares, apresentou uma síntese dos dados coletados em uma consulta pública realizada pela </w:t>
      </w:r>
      <w:proofErr w:type="spellStart"/>
      <w:r>
        <w:rPr>
          <w:rFonts w:ascii="Times New Roman" w:hAnsi="Times New Roman"/>
        </w:rPr>
        <w:t>FeNEA</w:t>
      </w:r>
      <w:proofErr w:type="spellEnd"/>
      <w:r>
        <w:rPr>
          <w:rFonts w:ascii="Times New Roman" w:hAnsi="Times New Roman"/>
        </w:rPr>
        <w:t xml:space="preserve"> Nacional a respeito do ensino de arquitetura e urbanismo durante</w:t>
      </w:r>
      <w:r>
        <w:rPr>
          <w:rFonts w:ascii="Times New Roman" w:hAnsi="Times New Roman"/>
        </w:rPr>
        <w:t xml:space="preserve"> o período da pandemia do novo </w:t>
      </w:r>
      <w:proofErr w:type="spellStart"/>
      <w:r>
        <w:rPr>
          <w:rFonts w:ascii="Times New Roman" w:hAnsi="Times New Roman"/>
        </w:rPr>
        <w:t>coronavírus</w:t>
      </w:r>
      <w:proofErr w:type="spellEnd"/>
      <w:r>
        <w:rPr>
          <w:rFonts w:ascii="Times New Roman" w:hAnsi="Times New Roman"/>
        </w:rPr>
        <w:t xml:space="preserve">. Comunicou que a representante da </w:t>
      </w:r>
      <w:r>
        <w:rPr>
          <w:rFonts w:ascii="Times New Roman" w:hAnsi="Times New Roman"/>
          <w:color w:val="050505"/>
          <w:highlight w:val="white"/>
        </w:rPr>
        <w:t xml:space="preserve">Associação Brasileira de Arquitetos Paisagistas - </w:t>
      </w:r>
      <w:r>
        <w:rPr>
          <w:rFonts w:ascii="Times New Roman" w:hAnsi="Times New Roman"/>
        </w:rPr>
        <w:t>ABAP-DF, Lúcia Helena Ferreira Moura, relatou sobre o trabalho da associação junto ao projeto “Tempo de Plantar” e propôs um trab</w:t>
      </w:r>
      <w:r>
        <w:rPr>
          <w:rFonts w:ascii="Times New Roman" w:hAnsi="Times New Roman"/>
        </w:rPr>
        <w:t xml:space="preserve">alho conjunto com a CPUA-CAU/DF em todo o Distrito Federal. A referida proposta foi encaminhada à comissão.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relatou que o CAU/DF irá lançar uma campanha educativa, em suas redes sociais, sobre o papel de cada uma das</w:t>
      </w:r>
      <w:r>
        <w:rPr>
          <w:rFonts w:ascii="Times New Roman" w:hAnsi="Times New Roman"/>
        </w:rPr>
        <w:t xml:space="preserve"> entidades que compõem o CEAU/DF. Informou que o projeto está sendo finalizado e será lançado em breve. </w:t>
      </w:r>
      <w:r>
        <w:rPr>
          <w:rFonts w:ascii="Times New Roman" w:hAnsi="Times New Roman"/>
          <w:b/>
          <w:u w:val="single"/>
        </w:rPr>
        <w:t>13.7. Representação externa: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>13.7.1 Do Conselho de Planejamento Territorial e Urbano do Distrito Federal (</w:t>
      </w:r>
      <w:proofErr w:type="spellStart"/>
      <w:r>
        <w:rPr>
          <w:rFonts w:ascii="Times New Roman" w:hAnsi="Times New Roman"/>
          <w:b/>
          <w:u w:val="single"/>
        </w:rPr>
        <w:t>Conplan</w:t>
      </w:r>
      <w:proofErr w:type="spellEnd"/>
      <w:r>
        <w:rPr>
          <w:rFonts w:ascii="Times New Roman" w:hAnsi="Times New Roman"/>
          <w:b/>
          <w:u w:val="single"/>
        </w:rPr>
        <w:t>):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PEDRO DE ALMEIDA GRILO</w:t>
      </w:r>
      <w:r>
        <w:rPr>
          <w:rFonts w:ascii="Times New Roman" w:hAnsi="Times New Roman"/>
        </w:rPr>
        <w:t xml:space="preserve"> relatou que o </w:t>
      </w:r>
      <w:proofErr w:type="spellStart"/>
      <w:r>
        <w:rPr>
          <w:rFonts w:ascii="Times New Roman" w:hAnsi="Times New Roman"/>
        </w:rPr>
        <w:t>Conplan</w:t>
      </w:r>
      <w:proofErr w:type="spellEnd"/>
      <w:r>
        <w:rPr>
          <w:rFonts w:ascii="Times New Roman" w:hAnsi="Times New Roman"/>
        </w:rPr>
        <w:t xml:space="preserve"> aprovou o projeto de Regularização das quadras QS 16 e CLS 16 da Região Administrativa do Riacho Fundo I e a aprovação de um projeto de ajuste de locação de imóvel comercial na Asa Sul, do qual se absteve na votação por não entender </w:t>
      </w:r>
      <w:r>
        <w:rPr>
          <w:rFonts w:ascii="Times New Roman" w:hAnsi="Times New Roman"/>
        </w:rPr>
        <w:t xml:space="preserve">o contexto da realocação da trama viária. </w:t>
      </w:r>
      <w:r>
        <w:rPr>
          <w:rFonts w:ascii="Times New Roman" w:hAnsi="Times New Roman"/>
          <w:b/>
          <w:u w:val="single"/>
        </w:rPr>
        <w:t>13.7.2. Câmara Técnica do Plano Distrital de Habitação de Interesse Social (</w:t>
      </w:r>
      <w:proofErr w:type="spellStart"/>
      <w:r>
        <w:rPr>
          <w:rFonts w:ascii="Times New Roman" w:hAnsi="Times New Roman"/>
          <w:b/>
          <w:u w:val="single"/>
        </w:rPr>
        <w:t>Plandhis</w:t>
      </w:r>
      <w:proofErr w:type="spellEnd"/>
      <w:r>
        <w:rPr>
          <w:rFonts w:ascii="Times New Roman" w:hAnsi="Times New Roman"/>
          <w:b/>
          <w:u w:val="single"/>
        </w:rPr>
        <w:t>):</w:t>
      </w:r>
      <w:r>
        <w:rPr>
          <w:rFonts w:ascii="Times New Roman" w:hAnsi="Times New Roman"/>
        </w:rPr>
        <w:t xml:space="preserve"> A conselheira </w:t>
      </w:r>
      <w:r>
        <w:rPr>
          <w:rFonts w:ascii="Times New Roman" w:hAnsi="Times New Roman"/>
          <w:b/>
        </w:rPr>
        <w:t>LETÍCIA MIGUEL TEIXEIRA</w:t>
      </w:r>
      <w:r>
        <w:rPr>
          <w:rFonts w:ascii="Times New Roman" w:hAnsi="Times New Roman"/>
        </w:rPr>
        <w:t xml:space="preserve"> relatou que as últimas reuniões trataram sobre o acompanhamento e monitoramento social do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Plandhis</w:t>
      </w:r>
      <w:proofErr w:type="spellEnd"/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u w:val="single"/>
        </w:rPr>
        <w:t>13.7.4. Associação dos Conselhos e Ordens de Profissões Regulamentadas no Distrito Federal (ASCOP):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>ANDRÉ VELLOSO RAMOS</w:t>
      </w:r>
      <w:r>
        <w:rPr>
          <w:rFonts w:ascii="Times New Roman" w:hAnsi="Times New Roman"/>
        </w:rPr>
        <w:t xml:space="preserve"> relatou sobre a preocupação com o Projeto de Lei </w:t>
      </w:r>
      <w:r>
        <w:rPr>
          <w:rFonts w:ascii="Times New Roman" w:hAnsi="Times New Roman"/>
          <w:highlight w:val="white"/>
        </w:rPr>
        <w:t>n.º 1.263 de 2020, que propõe a redução temporária dos valores</w:t>
      </w:r>
      <w:r>
        <w:rPr>
          <w:rFonts w:ascii="Times New Roman" w:hAnsi="Times New Roman"/>
          <w:highlight w:val="white"/>
        </w:rPr>
        <w:t xml:space="preserve"> de anuidades dos conselhos profissionais, e que impacta diretamente todos os associados. Informou que o CAU/DF tentou entrar em contato com a presidência da ASCOP/DF para propor uma ação conjunta de manifestação contrária ao PL e/ou apoio a ações da ASCOP</w:t>
      </w:r>
      <w:r>
        <w:rPr>
          <w:rFonts w:ascii="Times New Roman" w:hAnsi="Times New Roman"/>
          <w:highlight w:val="white"/>
        </w:rPr>
        <w:t xml:space="preserve"> já programadas, mas não obteve resposta.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>13.7.5. Comissão Permanente de Monitoramento do Código de Obras e Edificações (CPCOE):</w:t>
      </w:r>
      <w:r>
        <w:rPr>
          <w:rFonts w:ascii="Times New Roman" w:hAnsi="Times New Roman"/>
        </w:rPr>
        <w:t xml:space="preserve"> O conselheiro </w:t>
      </w:r>
      <w:r>
        <w:rPr>
          <w:rFonts w:ascii="Times New Roman" w:hAnsi="Times New Roman"/>
          <w:b/>
        </w:rPr>
        <w:t xml:space="preserve">JOÃO EDUARDO MARTINS </w:t>
      </w:r>
      <w:r>
        <w:rPr>
          <w:rFonts w:ascii="Times New Roman" w:hAnsi="Times New Roman"/>
          <w:b/>
        </w:rPr>
        <w:lastRenderedPageBreak/>
        <w:t>DANTAS</w:t>
      </w:r>
      <w:r>
        <w:rPr>
          <w:rFonts w:ascii="Times New Roman" w:hAnsi="Times New Roman"/>
        </w:rPr>
        <w:t xml:space="preserve"> relatou que a reunião do mês de maio da CPCOE tratou sobre a apreciação de parecer qu</w:t>
      </w:r>
      <w:r>
        <w:rPr>
          <w:rFonts w:ascii="Times New Roman" w:hAnsi="Times New Roman"/>
        </w:rPr>
        <w:t>e tratava sobre uma solicitação de retificação de Carta de Habite-se de edificação de uso comercial de bens e serviços, e a aprovação da possibilidade de aplicação nos casos de licenciamento de obras de 2 domicílios em lote compartilhado, permitidos em alg</w:t>
      </w:r>
      <w:r>
        <w:rPr>
          <w:rFonts w:ascii="Times New Roman" w:hAnsi="Times New Roman"/>
        </w:rPr>
        <w:t xml:space="preserve">umas legislações urbanísticas, dos dispositivos do código de edificações aplicáveis às habitações unifamiliares de uso exclusivo. </w:t>
      </w:r>
      <w:r>
        <w:rPr>
          <w:rFonts w:ascii="Times New Roman" w:hAnsi="Times New Roman"/>
          <w:b/>
          <w:u w:val="single"/>
        </w:rPr>
        <w:t>14. Assuntos de interesse geral:</w:t>
      </w:r>
      <w:r>
        <w:rPr>
          <w:rFonts w:ascii="Times New Roman" w:hAnsi="Times New Roman"/>
        </w:rPr>
        <w:t xml:space="preserve">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lamentou a morte do arquiteto e urbanista Carlos Vini</w:t>
      </w:r>
      <w:r>
        <w:rPr>
          <w:rFonts w:ascii="Times New Roman" w:hAnsi="Times New Roman"/>
        </w:rPr>
        <w:t xml:space="preserve">cius Lima Meirelles. O conselheiro </w:t>
      </w:r>
      <w:r>
        <w:rPr>
          <w:rFonts w:ascii="Times New Roman" w:hAnsi="Times New Roman"/>
          <w:b/>
        </w:rPr>
        <w:t>JOÃO GILBERTO DE CARVALHO ACCIOLY</w:t>
      </w:r>
      <w:r>
        <w:rPr>
          <w:rFonts w:ascii="Times New Roman" w:hAnsi="Times New Roman"/>
        </w:rPr>
        <w:t xml:space="preserve"> ressaltou a importância da participação de representantes do CAU/DF nas consultas e reuniões pública</w:t>
      </w:r>
      <w:r w:rsidR="00E81F03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sobre a revisão de marcos regulatórios e demais legislações, como o Projeto de Lei que</w:t>
      </w:r>
      <w:r>
        <w:rPr>
          <w:rFonts w:ascii="Times New Roman" w:hAnsi="Times New Roman"/>
        </w:rPr>
        <w:t xml:space="preserve"> altera a aplicação e os procedimentos relativos ao Estudo de Impacto de Vizinhança (EIV), a Lei de Uso e Ocupação do Solo (LUOS) e a consulta pública on-line sobre a minuta que altera a Lei do Polo Gerador de Viagens (PGV). A conselheira </w:t>
      </w:r>
      <w:r>
        <w:rPr>
          <w:rFonts w:ascii="Times New Roman" w:hAnsi="Times New Roman"/>
          <w:b/>
        </w:rPr>
        <w:t>GISELLE MOLL MASC</w:t>
      </w:r>
      <w:r>
        <w:rPr>
          <w:rFonts w:ascii="Times New Roman" w:hAnsi="Times New Roman"/>
          <w:b/>
        </w:rPr>
        <w:t>ARENHAS</w:t>
      </w:r>
      <w:r>
        <w:rPr>
          <w:rFonts w:ascii="Times New Roman" w:hAnsi="Times New Roman"/>
        </w:rPr>
        <w:t xml:space="preserve"> informou que as consultas públicas sobre a revisão da lei do EIV e do PGV já foram lançadas no site da Secretaria de Estado de Desenvolvimento Urbano </w:t>
      </w:r>
      <w:r w:rsidR="00F44390">
        <w:rPr>
          <w:rFonts w:ascii="Times New Roman" w:hAnsi="Times New Roman"/>
        </w:rPr>
        <w:t xml:space="preserve">e </w:t>
      </w:r>
      <w:r>
        <w:rPr>
          <w:rFonts w:ascii="Times New Roman" w:hAnsi="Times New Roman"/>
        </w:rPr>
        <w:t xml:space="preserve">Habitação (SEDUH). A vice-presidente </w:t>
      </w:r>
      <w:r>
        <w:rPr>
          <w:rFonts w:ascii="Times New Roman" w:hAnsi="Times New Roman"/>
          <w:b/>
        </w:rPr>
        <w:t>MÔNICA ANDRÉA BLANCO</w:t>
      </w:r>
      <w:r>
        <w:rPr>
          <w:rFonts w:ascii="Times New Roman" w:hAnsi="Times New Roman"/>
        </w:rPr>
        <w:t xml:space="preserve"> propôs ao presidente e ao Plenário do C</w:t>
      </w:r>
      <w:r>
        <w:rPr>
          <w:rFonts w:ascii="Times New Roman" w:hAnsi="Times New Roman"/>
        </w:rPr>
        <w:t xml:space="preserve">AU/DF que o Conselho realize uma transmissão de vídeo ao vivo, em uma rede social, sobre o papel do arquiteto e urbanista em tempos de pandemia.  </w:t>
      </w:r>
      <w:r w:rsidR="005B0F68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 xml:space="preserve">proposta será analisada. </w:t>
      </w:r>
      <w:r>
        <w:rPr>
          <w:rFonts w:ascii="Times New Roman" w:hAnsi="Times New Roman"/>
          <w:b/>
          <w:u w:val="single"/>
        </w:rPr>
        <w:t>15. Encerramento:</w:t>
      </w:r>
      <w:r>
        <w:rPr>
          <w:rFonts w:ascii="Times New Roman" w:hAnsi="Times New Roman"/>
        </w:rPr>
        <w:t xml:space="preserve"> O presidente </w:t>
      </w:r>
      <w:r>
        <w:rPr>
          <w:rFonts w:ascii="Times New Roman" w:hAnsi="Times New Roman"/>
          <w:b/>
        </w:rPr>
        <w:t>DANIEL MANGABEIRA DA VINHA</w:t>
      </w:r>
      <w:r>
        <w:rPr>
          <w:rFonts w:ascii="Times New Roman" w:hAnsi="Times New Roman"/>
        </w:rPr>
        <w:t xml:space="preserve"> agradeceu a presença de tod</w:t>
      </w:r>
      <w:r>
        <w:rPr>
          <w:rFonts w:ascii="Times New Roman" w:hAnsi="Times New Roman"/>
        </w:rPr>
        <w:t xml:space="preserve">os. Após considerações finais e nada havendo mais a tratar, encerrou a </w:t>
      </w:r>
      <w:r>
        <w:rPr>
          <w:rFonts w:ascii="Times New Roman" w:hAnsi="Times New Roman"/>
        </w:rPr>
        <w:t xml:space="preserve">101ª Plenária Ordinária do CAU/DF, da qual se lavrou a presente ata. </w:t>
      </w:r>
    </w:p>
    <w:p w:rsidR="00957C35" w:rsidRDefault="00957C35">
      <w:pPr>
        <w:pStyle w:val="LO-normal"/>
        <w:tabs>
          <w:tab w:val="left" w:pos="309"/>
          <w:tab w:val="right" w:pos="9354"/>
        </w:tabs>
        <w:spacing w:line="384" w:lineRule="auto"/>
        <w:rPr>
          <w:rFonts w:ascii="Times New Roman" w:hAnsi="Times New Roman"/>
          <w:u w:val="single"/>
        </w:rPr>
      </w:pPr>
    </w:p>
    <w:p w:rsidR="00957C35" w:rsidRDefault="00957C35">
      <w:pPr>
        <w:pStyle w:val="LO-normal"/>
        <w:tabs>
          <w:tab w:val="left" w:pos="309"/>
          <w:tab w:val="right" w:pos="9354"/>
        </w:tabs>
        <w:spacing w:line="384" w:lineRule="auto"/>
        <w:rPr>
          <w:rFonts w:ascii="Times New Roman" w:hAnsi="Times New Roman"/>
          <w:u w:val="single"/>
        </w:rPr>
      </w:pPr>
    </w:p>
    <w:p w:rsidR="00957C35" w:rsidRDefault="00957C35">
      <w:pPr>
        <w:pStyle w:val="LO-normal"/>
        <w:tabs>
          <w:tab w:val="left" w:pos="309"/>
          <w:tab w:val="right" w:pos="9354"/>
        </w:tabs>
        <w:spacing w:line="384" w:lineRule="auto"/>
        <w:rPr>
          <w:rFonts w:ascii="Times New Roman" w:hAnsi="Times New Roman"/>
          <w:u w:val="single"/>
        </w:rPr>
      </w:pPr>
    </w:p>
    <w:p w:rsidR="00957C35" w:rsidRDefault="00FC0253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rFonts w:ascii="Times New Roman" w:hAnsi="Times New Roman"/>
          <w:b/>
        </w:rPr>
        <w:t>DANIEL MANGABEIRA DA VINHA</w:t>
      </w:r>
    </w:p>
    <w:p w:rsidR="00957C35" w:rsidRDefault="00FC0253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Presidente do CAU/DF</w:t>
      </w:r>
    </w:p>
    <w:p w:rsidR="00957C35" w:rsidRDefault="00957C35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957C35" w:rsidRDefault="00957C35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957C35" w:rsidRDefault="00FC0253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rFonts w:ascii="Times New Roman" w:hAnsi="Times New Roman"/>
          <w:b/>
        </w:rPr>
        <w:t>FLÁVIO SOARES OLIVEIRA</w:t>
      </w:r>
    </w:p>
    <w:p w:rsidR="00957C35" w:rsidRDefault="00FC0253">
      <w:pPr>
        <w:pStyle w:val="LO-normal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Gerente Geral do CAU/DF</w:t>
      </w:r>
    </w:p>
    <w:sectPr w:rsidR="00957C35" w:rsidSect="00D168C7">
      <w:headerReference w:type="default" r:id="rId8"/>
      <w:footerReference w:type="default" r:id="rId9"/>
      <w:pgSz w:w="11906" w:h="16838"/>
      <w:pgMar w:top="1276" w:right="1133" w:bottom="1276" w:left="1700" w:header="426" w:footer="0" w:gutter="0"/>
      <w:lnNumType w:countBy="1" w:distance="113" w:restart="continuous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253" w:rsidRDefault="00FC0253">
      <w:r>
        <w:separator/>
      </w:r>
    </w:p>
  </w:endnote>
  <w:endnote w:type="continuationSeparator" w:id="0">
    <w:p w:rsidR="00FC0253" w:rsidRDefault="00FC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;Arial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;ＭＳ 明朝">
    <w:panose1 w:val="00000000000000000000"/>
    <w:charset w:val="8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C35" w:rsidRPr="00D168C7" w:rsidRDefault="00FC0253">
    <w:pPr>
      <w:pStyle w:val="LO-normal"/>
      <w:ind w:left="-1701" w:right="-851"/>
      <w:jc w:val="center"/>
      <w:rPr>
        <w:rFonts w:ascii="Times New Roman" w:hAnsi="Times New Roman"/>
        <w:sz w:val="18"/>
        <w:szCs w:val="18"/>
      </w:rPr>
    </w:pPr>
    <w:r w:rsidRPr="00D168C7">
      <w:rPr>
        <w:noProof/>
        <w:sz w:val="18"/>
        <w:szCs w:val="18"/>
        <w:lang w:eastAsia="pt-BR" w:bidi="ar-SA"/>
      </w:rPr>
      <mc:AlternateContent>
        <mc:Choice Requires="wps">
          <w:drawing>
            <wp:anchor distT="0" distB="0" distL="0" distR="0" simplePos="0" relativeHeight="13" behindDoc="1" locked="0" layoutInCell="1" allowOverlap="1">
              <wp:simplePos x="0" y="0"/>
              <wp:positionH relativeFrom="column">
                <wp:posOffset>-66040</wp:posOffset>
              </wp:positionH>
              <wp:positionV relativeFrom="paragraph">
                <wp:posOffset>67311</wp:posOffset>
              </wp:positionV>
              <wp:extent cx="5793740" cy="45719"/>
              <wp:effectExtent l="19050" t="19050" r="35560" b="31115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793740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823304" id="Figura1" o:spid="_x0000_s1026" style="position:absolute;margin-left:-5.2pt;margin-top:5.3pt;width:456.2pt;height:3.6pt;flip:x;z-index:-50331646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" path="m,l21600,21600e" filled="f" strokecolor="#1c3942" strokeweight=".53mm">
              <v:stroke joinstyle="miter" endcap="square"/>
              <v:path arrowok="t"/>
              <w10:wrap type="square"/>
            </v:shape>
          </w:pict>
        </mc:Fallback>
      </mc:AlternateContent>
    </w:r>
    <w:r w:rsidRPr="00D168C7">
      <w:rPr>
        <w:rFonts w:ascii="Times New Roman" w:hAnsi="Times New Roman"/>
        <w:color w:val="1C3942"/>
        <w:sz w:val="18"/>
        <w:szCs w:val="18"/>
      </w:rPr>
      <w:t xml:space="preserve">Página </w:t>
    </w:r>
    <w:r w:rsidRPr="00D168C7">
      <w:rPr>
        <w:rFonts w:ascii="Times New Roman" w:hAnsi="Times New Roman"/>
        <w:sz w:val="18"/>
        <w:szCs w:val="18"/>
      </w:rPr>
      <w:fldChar w:fldCharType="begin"/>
    </w:r>
    <w:r w:rsidRPr="00D168C7">
      <w:rPr>
        <w:rFonts w:ascii="Times New Roman" w:hAnsi="Times New Roman"/>
        <w:sz w:val="18"/>
        <w:szCs w:val="18"/>
      </w:rPr>
      <w:instrText>PAGE</w:instrText>
    </w:r>
    <w:r w:rsidRPr="00D168C7">
      <w:rPr>
        <w:rFonts w:ascii="Times New Roman" w:hAnsi="Times New Roman"/>
        <w:sz w:val="18"/>
        <w:szCs w:val="18"/>
      </w:rPr>
      <w:fldChar w:fldCharType="separate"/>
    </w:r>
    <w:r w:rsidR="00104833">
      <w:rPr>
        <w:rFonts w:ascii="Times New Roman" w:hAnsi="Times New Roman"/>
        <w:noProof/>
        <w:sz w:val="18"/>
        <w:szCs w:val="18"/>
      </w:rPr>
      <w:t>1</w:t>
    </w:r>
    <w:r w:rsidRPr="00D168C7">
      <w:rPr>
        <w:rFonts w:ascii="Times New Roman" w:hAnsi="Times New Roman"/>
        <w:sz w:val="18"/>
        <w:szCs w:val="18"/>
      </w:rPr>
      <w:fldChar w:fldCharType="end"/>
    </w:r>
    <w:r w:rsidRPr="00D168C7">
      <w:rPr>
        <w:rFonts w:ascii="Times New Roman" w:hAnsi="Times New Roman"/>
        <w:color w:val="1C3942"/>
        <w:sz w:val="18"/>
        <w:szCs w:val="18"/>
      </w:rPr>
      <w:t xml:space="preserve"> de </w:t>
    </w:r>
    <w:r w:rsidRPr="00D168C7">
      <w:rPr>
        <w:rFonts w:ascii="Times New Roman" w:hAnsi="Times New Roman"/>
        <w:sz w:val="18"/>
        <w:szCs w:val="18"/>
      </w:rPr>
      <w:fldChar w:fldCharType="begin"/>
    </w:r>
    <w:r w:rsidRPr="00D168C7">
      <w:rPr>
        <w:rFonts w:ascii="Times New Roman" w:hAnsi="Times New Roman"/>
        <w:sz w:val="18"/>
        <w:szCs w:val="18"/>
      </w:rPr>
      <w:instrText>NUMPAGES</w:instrText>
    </w:r>
    <w:r w:rsidRPr="00D168C7">
      <w:rPr>
        <w:rFonts w:ascii="Times New Roman" w:hAnsi="Times New Roman"/>
        <w:sz w:val="18"/>
        <w:szCs w:val="18"/>
      </w:rPr>
      <w:fldChar w:fldCharType="separate"/>
    </w:r>
    <w:r w:rsidR="00104833">
      <w:rPr>
        <w:rFonts w:ascii="Times New Roman" w:hAnsi="Times New Roman"/>
        <w:noProof/>
        <w:sz w:val="18"/>
        <w:szCs w:val="18"/>
      </w:rPr>
      <w:t>9</w:t>
    </w:r>
    <w:r w:rsidRPr="00D168C7">
      <w:rPr>
        <w:rFonts w:ascii="Times New Roman" w:hAnsi="Times New Roman"/>
        <w:sz w:val="18"/>
        <w:szCs w:val="18"/>
      </w:rPr>
      <w:fldChar w:fldCharType="end"/>
    </w:r>
  </w:p>
  <w:p w:rsidR="00957C35" w:rsidRPr="00D168C7" w:rsidRDefault="00957C35">
    <w:pPr>
      <w:pStyle w:val="LO-normal"/>
      <w:ind w:left="-1701" w:right="-851"/>
      <w:jc w:val="center"/>
      <w:rPr>
        <w:color w:val="1C3942"/>
        <w:sz w:val="8"/>
        <w:szCs w:val="8"/>
      </w:rPr>
    </w:pPr>
  </w:p>
  <w:p w:rsidR="00957C35" w:rsidRPr="00D168C7" w:rsidRDefault="00FC0253">
    <w:pPr>
      <w:pStyle w:val="LO-normal"/>
      <w:ind w:left="-1701" w:right="-7" w:firstLine="1701"/>
      <w:jc w:val="center"/>
      <w:rPr>
        <w:color w:val="1C3942"/>
        <w:sz w:val="18"/>
        <w:szCs w:val="18"/>
      </w:rPr>
    </w:pPr>
    <w:r w:rsidRPr="00D168C7">
      <w:rPr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57C35" w:rsidRPr="00D168C7" w:rsidRDefault="00FC0253">
    <w:pPr>
      <w:pStyle w:val="LO-normal"/>
      <w:ind w:left="-1701" w:right="-7" w:firstLine="1701"/>
      <w:jc w:val="center"/>
      <w:rPr>
        <w:color w:val="1C3942"/>
        <w:sz w:val="18"/>
        <w:szCs w:val="18"/>
      </w:rPr>
    </w:pPr>
    <w:r w:rsidRPr="00D168C7">
      <w:rPr>
        <w:color w:val="1C3942"/>
        <w:sz w:val="18"/>
        <w:szCs w:val="18"/>
      </w:rPr>
      <w:t>(61) 3222-5176/3222-5179 | www.caudf.gov.br | atendimento@caudf.gov.br</w:t>
    </w:r>
  </w:p>
  <w:p w:rsidR="00957C35" w:rsidRPr="00D168C7" w:rsidRDefault="00957C35">
    <w:pPr>
      <w:pStyle w:val="LO-normal"/>
      <w:tabs>
        <w:tab w:val="left" w:pos="897"/>
        <w:tab w:val="center" w:pos="4107"/>
      </w:tabs>
      <w:ind w:left="-1701" w:right="-851"/>
      <w:jc w:val="center"/>
      <w:rPr>
        <w:color w:val="1C3942"/>
        <w:sz w:val="16"/>
        <w:szCs w:val="16"/>
      </w:rPr>
    </w:pPr>
  </w:p>
  <w:p w:rsidR="00957C35" w:rsidRPr="00D168C7" w:rsidRDefault="00957C35">
    <w:pPr>
      <w:pStyle w:val="LO-normal"/>
      <w:rPr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253" w:rsidRDefault="00FC0253">
      <w:r>
        <w:separator/>
      </w:r>
    </w:p>
  </w:footnote>
  <w:footnote w:type="continuationSeparator" w:id="0">
    <w:p w:rsidR="00FC0253" w:rsidRDefault="00FC0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C35" w:rsidRDefault="00FC0253">
    <w:pPr>
      <w:pStyle w:val="LO-normal"/>
      <w:tabs>
        <w:tab w:val="left" w:pos="6068"/>
      </w:tabs>
      <w:ind w:left="-1701" w:right="140"/>
      <w:jc w:val="center"/>
      <w:rPr>
        <w:rFonts w:ascii="Times New Roman" w:eastAsia="Times New Roman" w:hAnsi="Times New Roman" w:cs="Times New Roman"/>
        <w:color w:val="000000"/>
        <w:sz w:val="21"/>
        <w:szCs w:val="21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</w:t>
    </w:r>
    <w:r>
      <w:object w:dxaOrig="9061" w:dyaOrig="855">
        <v:shape id="ole_rId1" o:spid="_x0000_i1025" style="width:453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ShapeID="ole_rId1" DrawAspect="Content" ObjectID="_1657633512" r:id="rId2"/>
      </w:object>
    </w:r>
  </w:p>
  <w:p w:rsidR="00957C35" w:rsidRDefault="00FC0253">
    <w:pPr>
      <w:pStyle w:val="LO-normal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br/>
    </w:r>
    <w:r>
      <w:rPr>
        <w:rFonts w:ascii="Times New Roman" w:hAnsi="Times New Roman"/>
        <w:b/>
        <w:color w:val="000000"/>
        <w:sz w:val="22"/>
        <w:szCs w:val="22"/>
      </w:rPr>
      <w:t>ATA DA 10</w:t>
    </w:r>
    <w:r>
      <w:rPr>
        <w:rFonts w:ascii="Times New Roman" w:hAnsi="Times New Roman"/>
        <w:b/>
        <w:sz w:val="22"/>
        <w:szCs w:val="22"/>
      </w:rPr>
      <w:t>1</w:t>
    </w:r>
    <w:r>
      <w:rPr>
        <w:rFonts w:ascii="Times New Roman" w:hAnsi="Times New Roman"/>
        <w:b/>
        <w:color w:val="000000"/>
        <w:sz w:val="22"/>
        <w:szCs w:val="22"/>
      </w:rPr>
      <w:t>ª REUNIÃO PLENÁRIA ORDINÁRIA, REALIZADA EM 2</w:t>
    </w:r>
    <w:r>
      <w:rPr>
        <w:rFonts w:ascii="Times New Roman" w:hAnsi="Times New Roman"/>
        <w:b/>
        <w:sz w:val="22"/>
        <w:szCs w:val="22"/>
      </w:rPr>
      <w:t>5</w:t>
    </w:r>
    <w:r>
      <w:rPr>
        <w:rFonts w:ascii="Times New Roman" w:hAnsi="Times New Roman"/>
        <w:b/>
        <w:color w:val="000000"/>
        <w:sz w:val="22"/>
        <w:szCs w:val="22"/>
      </w:rPr>
      <w:t xml:space="preserve"> DE </w:t>
    </w:r>
    <w:r>
      <w:rPr>
        <w:rFonts w:ascii="Times New Roman" w:hAnsi="Times New Roman"/>
        <w:b/>
        <w:sz w:val="22"/>
        <w:szCs w:val="22"/>
      </w:rPr>
      <w:t>MAIO</w:t>
    </w:r>
    <w:r>
      <w:rPr>
        <w:rFonts w:ascii="Times New Roman" w:hAnsi="Times New Roman"/>
        <w:b/>
        <w:color w:val="000000"/>
        <w:sz w:val="22"/>
        <w:szCs w:val="22"/>
      </w:rPr>
      <w:t xml:space="preserve"> DE 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510E"/>
    <w:multiLevelType w:val="multilevel"/>
    <w:tmpl w:val="7C7E6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0C2471B"/>
    <w:multiLevelType w:val="multilevel"/>
    <w:tmpl w:val="5A92E7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35"/>
    <w:rsid w:val="0007245A"/>
    <w:rsid w:val="00104833"/>
    <w:rsid w:val="00107BAD"/>
    <w:rsid w:val="005328DD"/>
    <w:rsid w:val="005739EF"/>
    <w:rsid w:val="005B0F68"/>
    <w:rsid w:val="005B5E1E"/>
    <w:rsid w:val="00682D0E"/>
    <w:rsid w:val="007213E9"/>
    <w:rsid w:val="007C3819"/>
    <w:rsid w:val="00957C35"/>
    <w:rsid w:val="00B62F56"/>
    <w:rsid w:val="00B778EF"/>
    <w:rsid w:val="00D168C7"/>
    <w:rsid w:val="00DE4279"/>
    <w:rsid w:val="00E3540B"/>
    <w:rsid w:val="00E6777E"/>
    <w:rsid w:val="00E81DD3"/>
    <w:rsid w:val="00E81F03"/>
    <w:rsid w:val="00F44390"/>
    <w:rsid w:val="00F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793478-FCAB-402C-A345-9F614A2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Lucida Sans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bidi="ar-SA"/>
    </w:rPr>
  </w:style>
  <w:style w:type="paragraph" w:styleId="Ttulo1">
    <w:name w:val="heading 1"/>
    <w:basedOn w:val="LO-normal"/>
    <w:next w:val="LO-normal"/>
    <w:qFormat/>
    <w:pPr>
      <w:spacing w:before="480"/>
      <w:outlineLvl w:val="0"/>
    </w:pPr>
    <w:rPr>
      <w:b/>
      <w:color w:val="345A8A"/>
      <w:sz w:val="32"/>
    </w:rPr>
  </w:style>
  <w:style w:type="paragraph" w:styleId="Ttulo2">
    <w:name w:val="heading 2"/>
    <w:basedOn w:val="LO-normal"/>
    <w:next w:val="LO-normal"/>
    <w:qFormat/>
    <w:pPr>
      <w:spacing w:before="200"/>
      <w:outlineLvl w:val="1"/>
    </w:pPr>
    <w:rPr>
      <w:b/>
      <w:color w:val="4F81BD"/>
      <w:sz w:val="26"/>
    </w:rPr>
  </w:style>
  <w:style w:type="paragraph" w:styleId="Ttulo3">
    <w:name w:val="heading 3"/>
    <w:basedOn w:val="LO-normal"/>
    <w:next w:val="LO-normal"/>
    <w:qFormat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LO-normal"/>
    <w:next w:val="LO-normal"/>
    <w:qFormat/>
    <w:pPr>
      <w:keepNext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pacing w:before="240" w:after="60"/>
      <w:outlineLvl w:val="7"/>
    </w:pPr>
    <w:rPr>
      <w:rFonts w:ascii="Arial" w:hAnsi="Arial" w:cs="Arial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6">
    <w:name w:val="Fonte parág. padrão6"/>
    <w:qFormat/>
  </w:style>
  <w:style w:type="character" w:customStyle="1" w:styleId="Fontepargpadro5">
    <w:name w:val="Fonte parág. padrão5"/>
    <w:qFormat/>
  </w:style>
  <w:style w:type="character" w:customStyle="1" w:styleId="Fontepargpadro4">
    <w:name w:val="Fonte parág. padrão4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sz w:val="24"/>
      <w:szCs w:val="24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  <w:sz w:val="20"/>
    </w:rPr>
  </w:style>
  <w:style w:type="character" w:customStyle="1" w:styleId="WW8Num5z1">
    <w:name w:val="WW8Num5z1"/>
    <w:qFormat/>
    <w:rPr>
      <w:rFonts w:ascii="Courier New" w:hAnsi="Courier New" w:cs="Courier New"/>
      <w:sz w:val="20"/>
    </w:rPr>
  </w:style>
  <w:style w:type="character" w:customStyle="1" w:styleId="WW8Num5z2">
    <w:name w:val="WW8Num5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b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color w:val="000000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Fontepargpadro3">
    <w:name w:val="Fonte parág. padrão3"/>
    <w:qFormat/>
  </w:style>
  <w:style w:type="character" w:customStyle="1" w:styleId="CabealhoChar">
    <w:name w:val="Cabeçalho Char"/>
    <w:basedOn w:val="Fontepargpadro3"/>
    <w:qFormat/>
  </w:style>
  <w:style w:type="character" w:customStyle="1" w:styleId="RodapChar">
    <w:name w:val="Rodapé Char"/>
    <w:basedOn w:val="Fontepargpadro3"/>
    <w:qFormat/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sz w:val="28"/>
    </w:rPr>
  </w:style>
  <w:style w:type="character" w:customStyle="1" w:styleId="Ttulo1Char">
    <w:name w:val="Título 1 Char"/>
    <w:qFormat/>
    <w:rPr>
      <w:rFonts w:ascii="Arial" w:eastAsia="Times New Roman" w:hAnsi="Arial" w:cs="Arial"/>
      <w:sz w:val="28"/>
      <w:szCs w:val="22"/>
      <w:shd w:val="clear" w:color="auto" w:fill="E5E5E5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sz w:val="32"/>
      <w:szCs w:val="22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sz w:val="22"/>
      <w:szCs w:val="22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sz w:val="24"/>
      <w:szCs w:val="24"/>
    </w:rPr>
  </w:style>
  <w:style w:type="character" w:customStyle="1" w:styleId="Numeraodelinhas">
    <w:name w:val="Numeração de linhas"/>
    <w:basedOn w:val="Fontepargpadro3"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st">
    <w:name w:val="st"/>
    <w:basedOn w:val="Fontepargpadro3"/>
    <w:qFormat/>
  </w:style>
  <w:style w:type="character" w:customStyle="1" w:styleId="apple-converted-space">
    <w:name w:val="apple-converted-space"/>
    <w:basedOn w:val="Fontepargpadro3"/>
    <w:qFormat/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sz w:val="24"/>
    </w:rPr>
  </w:style>
  <w:style w:type="character" w:styleId="nfase">
    <w:name w:val="Emphasis"/>
    <w:qFormat/>
    <w:rPr>
      <w:i/>
      <w:iCs/>
    </w:rPr>
  </w:style>
  <w:style w:type="character" w:customStyle="1" w:styleId="textojustificado">
    <w:name w:val="textojustificado"/>
    <w:qFormat/>
  </w:style>
  <w:style w:type="character" w:customStyle="1" w:styleId="Smbolosdenumerao">
    <w:name w:val="Símbolos de numeração"/>
    <w:qFormat/>
  </w:style>
  <w:style w:type="character" w:customStyle="1" w:styleId="Fontepargpadro1">
    <w:name w:val="Fonte parág. padrão1"/>
    <w:qFormat/>
  </w:style>
  <w:style w:type="character" w:customStyle="1" w:styleId="Fontepargpadro2">
    <w:name w:val="Fonte parág. padrão2"/>
    <w:qFormat/>
  </w:style>
  <w:style w:type="character" w:customStyle="1" w:styleId="rphighlightallclass">
    <w:name w:val="rphighlightallclass"/>
    <w:qFormat/>
  </w:style>
  <w:style w:type="character" w:customStyle="1" w:styleId="parag2Char">
    <w:name w:val="parag2 Char"/>
    <w:qFormat/>
    <w:rPr>
      <w:sz w:val="24"/>
      <w:szCs w:val="24"/>
    </w:rPr>
  </w:style>
  <w:style w:type="character" w:customStyle="1" w:styleId="Linkdainternetvisitado">
    <w:name w:val="Link da internet visitado"/>
    <w:rPr>
      <w:color w:val="800080"/>
      <w:u w:val="single"/>
    </w:rPr>
  </w:style>
  <w:style w:type="character" w:customStyle="1" w:styleId="e24kjd">
    <w:name w:val="e24kjd"/>
    <w:qFormat/>
  </w:style>
  <w:style w:type="paragraph" w:styleId="Ttulo">
    <w:name w:val="Title"/>
    <w:basedOn w:val="LO-normal"/>
    <w:next w:val="Corpodetexto"/>
    <w:qFormat/>
    <w:pPr>
      <w:spacing w:after="300"/>
    </w:pPr>
    <w:rPr>
      <w:color w:val="17365D"/>
      <w:sz w:val="52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LO-normal"/>
    <w:qFormat/>
    <w:pPr>
      <w:suppressLineNumbers/>
    </w:pPr>
    <w:rPr>
      <w:rFonts w:cs="Mangal"/>
    </w:rPr>
  </w:style>
  <w:style w:type="paragraph" w:customStyle="1" w:styleId="LO-normal">
    <w:name w:val="LO-normal"/>
    <w:qFormat/>
    <w:pPr>
      <w:widowControl w:val="0"/>
    </w:pPr>
    <w:rPr>
      <w:sz w:val="24"/>
    </w:rPr>
  </w:style>
  <w:style w:type="paragraph" w:customStyle="1" w:styleId="Ttulo60">
    <w:name w:val="Título6"/>
    <w:basedOn w:val="LO-normal"/>
    <w:next w:val="Corpodetex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egenda3">
    <w:name w:val="Legenda3"/>
    <w:basedOn w:val="LO-normal"/>
    <w:qFormat/>
    <w:pPr>
      <w:suppressLineNumbers/>
      <w:spacing w:before="120" w:after="120"/>
    </w:pPr>
    <w:rPr>
      <w:i/>
      <w:iCs/>
    </w:rPr>
  </w:style>
  <w:style w:type="paragraph" w:customStyle="1" w:styleId="Ttulo50">
    <w:name w:val="Título5"/>
    <w:basedOn w:val="LO-normal"/>
    <w:next w:val="Corpodetex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egenda2">
    <w:name w:val="Legenda2"/>
    <w:basedOn w:val="LO-normal"/>
    <w:qFormat/>
    <w:pPr>
      <w:suppressLineNumbers/>
      <w:spacing w:before="120" w:after="120"/>
    </w:pPr>
    <w:rPr>
      <w:i/>
      <w:iCs/>
    </w:rPr>
  </w:style>
  <w:style w:type="paragraph" w:customStyle="1" w:styleId="Ttulo40">
    <w:name w:val="Título4"/>
    <w:basedOn w:val="LO-normal"/>
    <w:next w:val="Corpodetex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egenda1">
    <w:name w:val="Legenda1"/>
    <w:basedOn w:val="LO-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LO-normal"/>
    <w:next w:val="Corpodetexto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LO-normal"/>
    <w:pPr>
      <w:suppressLineNumbers/>
    </w:pPr>
  </w:style>
  <w:style w:type="paragraph" w:styleId="Rodap">
    <w:name w:val="footer"/>
    <w:basedOn w:val="LO-normal"/>
    <w:pPr>
      <w:suppressLineNumbers/>
    </w:pPr>
  </w:style>
  <w:style w:type="paragraph" w:styleId="Textodebalo">
    <w:name w:val="Balloon Text"/>
    <w:basedOn w:val="LO-normal"/>
    <w:qFormat/>
    <w:rPr>
      <w:rFonts w:ascii="Tahoma" w:eastAsia="Calibri" w:hAnsi="Tahoma" w:cs="Tahoma"/>
      <w:sz w:val="16"/>
      <w:szCs w:val="16"/>
    </w:rPr>
  </w:style>
  <w:style w:type="paragraph" w:styleId="Recuodecorpodetexto">
    <w:name w:val="Body Text Indent"/>
    <w:basedOn w:val="LO-normal"/>
    <w:pPr>
      <w:widowControl/>
      <w:spacing w:line="360" w:lineRule="auto"/>
      <w:ind w:firstLine="1701"/>
      <w:jc w:val="both"/>
    </w:pPr>
    <w:rPr>
      <w:sz w:val="28"/>
    </w:rPr>
  </w:style>
  <w:style w:type="paragraph" w:customStyle="1" w:styleId="texto">
    <w:name w:val="texto"/>
    <w:basedOn w:val="LO-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LO-normal"/>
    <w:qFormat/>
    <w:pPr>
      <w:widowControl/>
      <w:spacing w:before="280" w:after="280"/>
    </w:pPr>
  </w:style>
  <w:style w:type="paragraph" w:styleId="PargrafodaLista">
    <w:name w:val="List Paragraph"/>
    <w:basedOn w:val="LO-normal"/>
    <w:qFormat/>
    <w:pPr>
      <w:ind w:left="720"/>
      <w:contextualSpacing/>
    </w:pPr>
  </w:style>
  <w:style w:type="paragraph" w:styleId="SemEspaamento">
    <w:name w:val="No Spacing"/>
    <w:qFormat/>
    <w:pPr>
      <w:suppressAutoHyphens/>
    </w:pPr>
    <w:rPr>
      <w:rFonts w:ascii="Cambria" w:eastAsia="MS Mincho;ＭＳ 明朝" w:hAnsi="Cambria" w:cs="Cambria"/>
      <w:kern w:val="2"/>
      <w:sz w:val="24"/>
      <w:lang w:bidi="ar-SA"/>
    </w:rPr>
  </w:style>
  <w:style w:type="paragraph" w:customStyle="1" w:styleId="WW-Padro">
    <w:name w:val="WW-Padrão"/>
    <w:qFormat/>
    <w:pPr>
      <w:suppressAutoHyphens/>
      <w:spacing w:line="200" w:lineRule="atLeast"/>
    </w:pPr>
    <w:rPr>
      <w:rFonts w:ascii="Mangal" w:eastAsia="Tahoma" w:hAnsi="Mangal" w:cs="Liberation Sans;Arial"/>
      <w:color w:val="000000"/>
      <w:kern w:val="2"/>
      <w:sz w:val="36"/>
    </w:rPr>
  </w:style>
  <w:style w:type="paragraph" w:customStyle="1" w:styleId="Objetocomseta">
    <w:name w:val="Objeto com seta"/>
    <w:basedOn w:val="WW-Padro"/>
    <w:qFormat/>
    <w:rPr>
      <w:rFonts w:cs="Mangal"/>
    </w:rPr>
  </w:style>
  <w:style w:type="paragraph" w:customStyle="1" w:styleId="Objetocomsombra">
    <w:name w:val="Objeto com sombra"/>
    <w:basedOn w:val="WW-Padro"/>
    <w:qFormat/>
    <w:rPr>
      <w:rFonts w:cs="Mangal"/>
    </w:rPr>
  </w:style>
  <w:style w:type="paragraph" w:customStyle="1" w:styleId="Objetosempreenchimento">
    <w:name w:val="Objeto sem preenchimento"/>
    <w:basedOn w:val="WW-Padro"/>
    <w:qFormat/>
    <w:rPr>
      <w:rFonts w:cs="Mangal"/>
    </w:rPr>
  </w:style>
  <w:style w:type="paragraph" w:customStyle="1" w:styleId="Objetosempreenchimentonemlinha">
    <w:name w:val="Objeto sem preenchimento nem linha"/>
    <w:basedOn w:val="WW-Padro"/>
    <w:qFormat/>
    <w:rPr>
      <w:rFonts w:cs="Mangal"/>
    </w:rPr>
  </w:style>
  <w:style w:type="paragraph" w:customStyle="1" w:styleId="WW-Corpodotexto">
    <w:name w:val="WW-Corpo do texto"/>
    <w:basedOn w:val="WW-Padro"/>
    <w:qFormat/>
    <w:rPr>
      <w:rFonts w:cs="Mangal"/>
    </w:rPr>
  </w:style>
  <w:style w:type="paragraph" w:customStyle="1" w:styleId="Corpodotextojustificado">
    <w:name w:val="Corpo do texto justificado"/>
    <w:basedOn w:val="WW-Padro"/>
    <w:qFormat/>
    <w:rPr>
      <w:rFonts w:cs="Mangal"/>
    </w:rPr>
  </w:style>
  <w:style w:type="paragraph" w:customStyle="1" w:styleId="Primeirorecuodecorpodetexto1">
    <w:name w:val="Primeiro recuo de corpo de texto1"/>
    <w:basedOn w:val="WW-Padro"/>
    <w:qFormat/>
    <w:pPr>
      <w:ind w:firstLine="340"/>
    </w:pPr>
    <w:rPr>
      <w:rFonts w:cs="Mangal"/>
    </w:rPr>
  </w:style>
  <w:style w:type="paragraph" w:customStyle="1" w:styleId="Ttulo10">
    <w:name w:val="Título1"/>
    <w:basedOn w:val="WW-Padro"/>
    <w:qFormat/>
    <w:pPr>
      <w:jc w:val="center"/>
    </w:pPr>
    <w:rPr>
      <w:rFonts w:cs="Mangal"/>
    </w:rPr>
  </w:style>
  <w:style w:type="paragraph" w:customStyle="1" w:styleId="Ttulo20">
    <w:name w:val="Título2"/>
    <w:basedOn w:val="WW-Padro"/>
    <w:qFormat/>
    <w:pPr>
      <w:spacing w:before="57" w:after="57"/>
      <w:ind w:right="113"/>
      <w:jc w:val="center"/>
    </w:pPr>
    <w:rPr>
      <w:rFonts w:cs="Mangal"/>
    </w:rPr>
  </w:style>
  <w:style w:type="paragraph" w:customStyle="1" w:styleId="Linhadecota">
    <w:name w:val="Linha de cota"/>
    <w:basedOn w:val="WW-Padro"/>
    <w:qFormat/>
    <w:rPr>
      <w:rFonts w:cs="Mangal"/>
    </w:rPr>
  </w:style>
  <w:style w:type="paragraph" w:customStyle="1" w:styleId="SlidedettuloLTGliederung1">
    <w:name w:val="Slide de título~LT~Gliederung 1"/>
    <w:qFormat/>
    <w:pPr>
      <w:suppressAutoHyphens/>
      <w:spacing w:before="283" w:line="216" w:lineRule="auto"/>
    </w:pPr>
    <w:rPr>
      <w:rFonts w:ascii="Mangal" w:eastAsia="Tahoma" w:hAnsi="Mangal" w:cs="Liberation Sans;Arial"/>
      <w:color w:val="000000"/>
      <w:kern w:val="2"/>
      <w:sz w:val="56"/>
    </w:rPr>
  </w:style>
  <w:style w:type="paragraph" w:customStyle="1" w:styleId="SlidedettuloLTGliederung2">
    <w:name w:val="Slide de título~LT~Gliederung 2"/>
    <w:basedOn w:val="SlidedettuloLTGliederung1"/>
    <w:qFormat/>
    <w:pPr>
      <w:spacing w:before="227"/>
    </w:pPr>
    <w:rPr>
      <w:rFonts w:cs="Mangal"/>
      <w:sz w:val="40"/>
    </w:rPr>
  </w:style>
  <w:style w:type="paragraph" w:customStyle="1" w:styleId="SlidedettuloLTGliederung3">
    <w:name w:val="Slide de título~LT~Gliederung 3"/>
    <w:basedOn w:val="SlidedettuloLTGliederung2"/>
    <w:qFormat/>
    <w:pPr>
      <w:spacing w:before="170"/>
    </w:pPr>
    <w:rPr>
      <w:sz w:val="36"/>
    </w:rPr>
  </w:style>
  <w:style w:type="paragraph" w:customStyle="1" w:styleId="SlidedettuloLTGliederung4">
    <w:name w:val="Slide de título~LT~Gliederung 4"/>
    <w:basedOn w:val="SlidedettuloLTGliederung3"/>
    <w:qFormat/>
    <w:pPr>
      <w:spacing w:before="113"/>
    </w:pPr>
  </w:style>
  <w:style w:type="paragraph" w:customStyle="1" w:styleId="SlidedettuloLTGliederung5">
    <w:name w:val="Slide de título~LT~Gliederung 5"/>
    <w:basedOn w:val="SlidedettuloLTGliederung4"/>
    <w:qFormat/>
    <w:pPr>
      <w:spacing w:before="57"/>
    </w:pPr>
    <w:rPr>
      <w:sz w:val="40"/>
    </w:rPr>
  </w:style>
  <w:style w:type="paragraph" w:customStyle="1" w:styleId="SlidedettuloLTGliederung6">
    <w:name w:val="Slide de título~LT~Gliederung 6"/>
    <w:basedOn w:val="SlidedettuloLTGliederung5"/>
    <w:qFormat/>
  </w:style>
  <w:style w:type="paragraph" w:customStyle="1" w:styleId="SlidedettuloLTGliederung7">
    <w:name w:val="Slide de título~LT~Gliederung 7"/>
    <w:basedOn w:val="SlidedettuloLTGliederung6"/>
    <w:qFormat/>
  </w:style>
  <w:style w:type="paragraph" w:customStyle="1" w:styleId="SlidedettuloLTGliederung8">
    <w:name w:val="Slide de título~LT~Gliederung 8"/>
    <w:basedOn w:val="SlidedettuloLTGliederung7"/>
    <w:qFormat/>
  </w:style>
  <w:style w:type="paragraph" w:customStyle="1" w:styleId="SlidedettuloLTGliederung9">
    <w:name w:val="Slide de título~LT~Gliederung 9"/>
    <w:basedOn w:val="SlidedettuloLTGliederung8"/>
    <w:qFormat/>
  </w:style>
  <w:style w:type="paragraph" w:customStyle="1" w:styleId="SlidedettuloLTTitel">
    <w:name w:val="Slide de título~LT~Titel"/>
    <w:qFormat/>
    <w:pPr>
      <w:suppressAutoHyphens/>
      <w:spacing w:line="200" w:lineRule="atLeast"/>
    </w:pPr>
    <w:rPr>
      <w:rFonts w:ascii="Mangal" w:eastAsia="Tahoma" w:hAnsi="Mangal" w:cs="Liberation Sans;Arial"/>
      <w:color w:val="000000"/>
      <w:kern w:val="2"/>
      <w:sz w:val="36"/>
    </w:rPr>
  </w:style>
  <w:style w:type="paragraph" w:customStyle="1" w:styleId="SlidedettuloLTUntertitel">
    <w:name w:val="Slide de título~LT~Untertitel"/>
    <w:qFormat/>
    <w:pPr>
      <w:suppressAutoHyphens/>
      <w:jc w:val="center"/>
    </w:pPr>
    <w:rPr>
      <w:rFonts w:ascii="Mangal" w:eastAsia="Tahoma" w:hAnsi="Mangal" w:cs="Liberation Sans;Arial"/>
      <w:color w:val="000000"/>
      <w:kern w:val="2"/>
      <w:sz w:val="64"/>
    </w:rPr>
  </w:style>
  <w:style w:type="paragraph" w:customStyle="1" w:styleId="SlidedettuloLTNotizen">
    <w:name w:val="Slide de título~LT~Notizen"/>
    <w:qFormat/>
    <w:pPr>
      <w:suppressAutoHyphens/>
      <w:ind w:left="340" w:hanging="340"/>
    </w:pPr>
    <w:rPr>
      <w:rFonts w:ascii="Mangal" w:eastAsia="Tahoma" w:hAnsi="Mangal" w:cs="Liberation Sans;Arial"/>
      <w:color w:val="000000"/>
      <w:kern w:val="2"/>
      <w:sz w:val="40"/>
    </w:rPr>
  </w:style>
  <w:style w:type="paragraph" w:customStyle="1" w:styleId="SlidedettuloLTHintergrundobjekte">
    <w:name w:val="Slide de título~LT~Hintergrundobjekte"/>
    <w:qFormat/>
    <w:pPr>
      <w:suppressAutoHyphens/>
    </w:pPr>
    <w:rPr>
      <w:rFonts w:ascii="Liberation Serif;Times New Roma" w:eastAsia="Tahoma" w:hAnsi="Liberation Serif;Times New Roma" w:cs="Liberation Sans;Arial"/>
      <w:kern w:val="2"/>
      <w:sz w:val="24"/>
    </w:rPr>
  </w:style>
  <w:style w:type="paragraph" w:customStyle="1" w:styleId="SlidedettuloLTHintergrund">
    <w:name w:val="Slide de título~LT~Hintergrund"/>
    <w:qFormat/>
    <w:pPr>
      <w:suppressAutoHyphens/>
    </w:pPr>
    <w:rPr>
      <w:rFonts w:ascii="Liberation Serif;Times New Roma" w:eastAsia="Tahoma" w:hAnsi="Liberation Serif;Times New Roma" w:cs="Liberation Sans;Arial"/>
      <w:kern w:val="2"/>
      <w:sz w:val="24"/>
    </w:rPr>
  </w:style>
  <w:style w:type="paragraph" w:customStyle="1" w:styleId="default">
    <w:name w:val="default"/>
    <w:qFormat/>
    <w:pPr>
      <w:suppressAutoHyphens/>
      <w:spacing w:line="200" w:lineRule="atLeast"/>
    </w:pPr>
    <w:rPr>
      <w:rFonts w:ascii="Mangal" w:eastAsia="Tahoma" w:hAnsi="Mangal" w:cs="Liberation Sans;Arial"/>
      <w:color w:val="000000"/>
      <w:kern w:val="2"/>
      <w:sz w:val="36"/>
    </w:rPr>
  </w:style>
  <w:style w:type="paragraph" w:customStyle="1" w:styleId="gray1">
    <w:name w:val="gray1"/>
    <w:basedOn w:val="default"/>
    <w:qFormat/>
    <w:rPr>
      <w:rFonts w:cs="Mangal"/>
    </w:rPr>
  </w:style>
  <w:style w:type="paragraph" w:customStyle="1" w:styleId="gray2">
    <w:name w:val="gray2"/>
    <w:basedOn w:val="default"/>
    <w:qFormat/>
    <w:rPr>
      <w:rFonts w:cs="Mangal"/>
    </w:rPr>
  </w:style>
  <w:style w:type="paragraph" w:customStyle="1" w:styleId="gray3">
    <w:name w:val="gray3"/>
    <w:basedOn w:val="default"/>
    <w:qFormat/>
    <w:rPr>
      <w:rFonts w:cs="Mangal"/>
    </w:rPr>
  </w:style>
  <w:style w:type="paragraph" w:customStyle="1" w:styleId="bw1">
    <w:name w:val="bw1"/>
    <w:basedOn w:val="default"/>
    <w:qFormat/>
    <w:rPr>
      <w:rFonts w:cs="Mangal"/>
    </w:rPr>
  </w:style>
  <w:style w:type="paragraph" w:customStyle="1" w:styleId="bw2">
    <w:name w:val="bw2"/>
    <w:basedOn w:val="default"/>
    <w:qFormat/>
    <w:rPr>
      <w:rFonts w:cs="Mangal"/>
    </w:rPr>
  </w:style>
  <w:style w:type="paragraph" w:customStyle="1" w:styleId="bw3">
    <w:name w:val="bw3"/>
    <w:basedOn w:val="default"/>
    <w:qFormat/>
    <w:rPr>
      <w:rFonts w:cs="Mangal"/>
    </w:rPr>
  </w:style>
  <w:style w:type="paragraph" w:customStyle="1" w:styleId="orange1">
    <w:name w:val="orange1"/>
    <w:basedOn w:val="default"/>
    <w:qFormat/>
    <w:rPr>
      <w:rFonts w:cs="Mangal"/>
    </w:rPr>
  </w:style>
  <w:style w:type="paragraph" w:customStyle="1" w:styleId="orange2">
    <w:name w:val="orange2"/>
    <w:basedOn w:val="default"/>
    <w:qFormat/>
    <w:rPr>
      <w:rFonts w:cs="Mangal"/>
    </w:rPr>
  </w:style>
  <w:style w:type="paragraph" w:customStyle="1" w:styleId="orange3">
    <w:name w:val="orange3"/>
    <w:basedOn w:val="default"/>
    <w:qFormat/>
    <w:rPr>
      <w:rFonts w:cs="Mangal"/>
    </w:rPr>
  </w:style>
  <w:style w:type="paragraph" w:customStyle="1" w:styleId="turquoise1">
    <w:name w:val="turquoise1"/>
    <w:basedOn w:val="default"/>
    <w:qFormat/>
    <w:rPr>
      <w:rFonts w:cs="Mangal"/>
    </w:rPr>
  </w:style>
  <w:style w:type="paragraph" w:customStyle="1" w:styleId="turquoise2">
    <w:name w:val="turquoise2"/>
    <w:basedOn w:val="default"/>
    <w:qFormat/>
    <w:rPr>
      <w:rFonts w:cs="Mangal"/>
    </w:rPr>
  </w:style>
  <w:style w:type="paragraph" w:customStyle="1" w:styleId="turquoise3">
    <w:name w:val="turquoise3"/>
    <w:basedOn w:val="default"/>
    <w:qFormat/>
    <w:rPr>
      <w:rFonts w:cs="Mangal"/>
    </w:rPr>
  </w:style>
  <w:style w:type="paragraph" w:customStyle="1" w:styleId="blue1">
    <w:name w:val="blue1"/>
    <w:basedOn w:val="default"/>
    <w:qFormat/>
    <w:rPr>
      <w:rFonts w:cs="Mangal"/>
    </w:rPr>
  </w:style>
  <w:style w:type="paragraph" w:customStyle="1" w:styleId="blue2">
    <w:name w:val="blue2"/>
    <w:basedOn w:val="default"/>
    <w:qFormat/>
    <w:rPr>
      <w:rFonts w:cs="Mangal"/>
    </w:rPr>
  </w:style>
  <w:style w:type="paragraph" w:customStyle="1" w:styleId="blue3">
    <w:name w:val="blue3"/>
    <w:basedOn w:val="default"/>
    <w:qFormat/>
    <w:rPr>
      <w:rFonts w:cs="Mangal"/>
    </w:rPr>
  </w:style>
  <w:style w:type="paragraph" w:customStyle="1" w:styleId="sun1">
    <w:name w:val="sun1"/>
    <w:basedOn w:val="default"/>
    <w:qFormat/>
    <w:rPr>
      <w:rFonts w:cs="Mangal"/>
    </w:rPr>
  </w:style>
  <w:style w:type="paragraph" w:customStyle="1" w:styleId="sun2">
    <w:name w:val="sun2"/>
    <w:basedOn w:val="default"/>
    <w:qFormat/>
    <w:rPr>
      <w:rFonts w:cs="Mangal"/>
    </w:rPr>
  </w:style>
  <w:style w:type="paragraph" w:customStyle="1" w:styleId="sun3">
    <w:name w:val="sun3"/>
    <w:basedOn w:val="default"/>
    <w:qFormat/>
    <w:rPr>
      <w:rFonts w:cs="Mangal"/>
    </w:rPr>
  </w:style>
  <w:style w:type="paragraph" w:customStyle="1" w:styleId="earth1">
    <w:name w:val="earth1"/>
    <w:basedOn w:val="default"/>
    <w:qFormat/>
    <w:rPr>
      <w:rFonts w:cs="Mangal"/>
    </w:rPr>
  </w:style>
  <w:style w:type="paragraph" w:customStyle="1" w:styleId="earth2">
    <w:name w:val="earth2"/>
    <w:basedOn w:val="default"/>
    <w:qFormat/>
    <w:rPr>
      <w:rFonts w:cs="Mangal"/>
    </w:rPr>
  </w:style>
  <w:style w:type="paragraph" w:customStyle="1" w:styleId="earth3">
    <w:name w:val="earth3"/>
    <w:basedOn w:val="default"/>
    <w:qFormat/>
    <w:rPr>
      <w:rFonts w:cs="Mangal"/>
    </w:rPr>
  </w:style>
  <w:style w:type="paragraph" w:customStyle="1" w:styleId="green1">
    <w:name w:val="green1"/>
    <w:basedOn w:val="default"/>
    <w:qFormat/>
    <w:rPr>
      <w:rFonts w:cs="Mangal"/>
    </w:rPr>
  </w:style>
  <w:style w:type="paragraph" w:customStyle="1" w:styleId="green2">
    <w:name w:val="green2"/>
    <w:basedOn w:val="default"/>
    <w:qFormat/>
    <w:rPr>
      <w:rFonts w:cs="Mangal"/>
    </w:rPr>
  </w:style>
  <w:style w:type="paragraph" w:customStyle="1" w:styleId="green3">
    <w:name w:val="green3"/>
    <w:basedOn w:val="default"/>
    <w:qFormat/>
    <w:rPr>
      <w:rFonts w:cs="Mangal"/>
    </w:rPr>
  </w:style>
  <w:style w:type="paragraph" w:customStyle="1" w:styleId="seetang1">
    <w:name w:val="seetang1"/>
    <w:basedOn w:val="default"/>
    <w:qFormat/>
    <w:rPr>
      <w:rFonts w:cs="Mangal"/>
    </w:rPr>
  </w:style>
  <w:style w:type="paragraph" w:customStyle="1" w:styleId="seetang2">
    <w:name w:val="seetang2"/>
    <w:basedOn w:val="default"/>
    <w:qFormat/>
    <w:rPr>
      <w:rFonts w:cs="Mangal"/>
    </w:rPr>
  </w:style>
  <w:style w:type="paragraph" w:customStyle="1" w:styleId="seetang3">
    <w:name w:val="seetang3"/>
    <w:basedOn w:val="default"/>
    <w:qFormat/>
    <w:rPr>
      <w:rFonts w:cs="Mangal"/>
    </w:rPr>
  </w:style>
  <w:style w:type="paragraph" w:customStyle="1" w:styleId="lightblue1">
    <w:name w:val="lightblue1"/>
    <w:basedOn w:val="default"/>
    <w:qFormat/>
    <w:rPr>
      <w:rFonts w:cs="Mangal"/>
    </w:rPr>
  </w:style>
  <w:style w:type="paragraph" w:customStyle="1" w:styleId="lightblue2">
    <w:name w:val="lightblue2"/>
    <w:basedOn w:val="default"/>
    <w:qFormat/>
    <w:rPr>
      <w:rFonts w:cs="Mangal"/>
    </w:rPr>
  </w:style>
  <w:style w:type="paragraph" w:customStyle="1" w:styleId="lightblue3">
    <w:name w:val="lightblue3"/>
    <w:basedOn w:val="default"/>
    <w:qFormat/>
    <w:rPr>
      <w:rFonts w:cs="Mangal"/>
    </w:rPr>
  </w:style>
  <w:style w:type="paragraph" w:customStyle="1" w:styleId="yellow1">
    <w:name w:val="yellow1"/>
    <w:basedOn w:val="default"/>
    <w:qFormat/>
    <w:rPr>
      <w:rFonts w:cs="Mangal"/>
    </w:rPr>
  </w:style>
  <w:style w:type="paragraph" w:customStyle="1" w:styleId="yellow2">
    <w:name w:val="yellow2"/>
    <w:basedOn w:val="default"/>
    <w:qFormat/>
    <w:rPr>
      <w:rFonts w:cs="Mangal"/>
    </w:rPr>
  </w:style>
  <w:style w:type="paragraph" w:customStyle="1" w:styleId="yellow3">
    <w:name w:val="yellow3"/>
    <w:basedOn w:val="default"/>
    <w:qFormat/>
    <w:rPr>
      <w:rFonts w:cs="Mangal"/>
    </w:rPr>
  </w:style>
  <w:style w:type="paragraph" w:customStyle="1" w:styleId="Objetosdoplanodefundo">
    <w:name w:val="Objetos do plano de fundo"/>
    <w:qFormat/>
    <w:pPr>
      <w:suppressAutoHyphens/>
    </w:pPr>
    <w:rPr>
      <w:rFonts w:ascii="Liberation Serif;Times New Roma" w:eastAsia="Tahoma" w:hAnsi="Liberation Serif;Times New Roma" w:cs="Liberation Sans;Arial"/>
      <w:kern w:val="2"/>
      <w:sz w:val="24"/>
    </w:rPr>
  </w:style>
  <w:style w:type="paragraph" w:customStyle="1" w:styleId="Planodefundo">
    <w:name w:val="Plano de fundo"/>
    <w:qFormat/>
    <w:pPr>
      <w:suppressAutoHyphens/>
    </w:pPr>
    <w:rPr>
      <w:rFonts w:ascii="Liberation Serif;Times New Roma" w:eastAsia="Tahoma" w:hAnsi="Liberation Serif;Times New Roma" w:cs="Liberation Sans;Arial"/>
      <w:kern w:val="2"/>
      <w:sz w:val="24"/>
    </w:rPr>
  </w:style>
  <w:style w:type="paragraph" w:customStyle="1" w:styleId="Notas">
    <w:name w:val="Notas"/>
    <w:qFormat/>
    <w:pPr>
      <w:suppressAutoHyphens/>
      <w:ind w:left="340" w:hanging="340"/>
    </w:pPr>
    <w:rPr>
      <w:rFonts w:ascii="Mangal" w:eastAsia="Tahoma" w:hAnsi="Mangal" w:cs="Liberation Sans;Arial"/>
      <w:color w:val="000000"/>
      <w:kern w:val="2"/>
      <w:sz w:val="40"/>
    </w:rPr>
  </w:style>
  <w:style w:type="paragraph" w:customStyle="1" w:styleId="Estruturadetpicos1">
    <w:name w:val="Estrutura de tópicos 1"/>
    <w:qFormat/>
    <w:pPr>
      <w:suppressAutoHyphens/>
      <w:spacing w:before="283" w:line="216" w:lineRule="auto"/>
    </w:pPr>
    <w:rPr>
      <w:rFonts w:ascii="Mangal" w:eastAsia="Tahoma" w:hAnsi="Mangal" w:cs="Liberation Sans;Arial"/>
      <w:color w:val="000000"/>
      <w:kern w:val="2"/>
      <w:sz w:val="56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rFonts w:cs="Mangal"/>
      <w:sz w:val="40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36"/>
    </w:rPr>
  </w:style>
  <w:style w:type="paragraph" w:customStyle="1" w:styleId="Estruturadetpicos4">
    <w:name w:val="Estrutura de tópicos 4"/>
    <w:basedOn w:val="Estruturadetpicos3"/>
    <w:qFormat/>
    <w:pPr>
      <w:spacing w:before="113"/>
    </w:pPr>
  </w:style>
  <w:style w:type="paragraph" w:customStyle="1" w:styleId="Estruturadetpicos5">
    <w:name w:val="Estrutura de tópicos 5"/>
    <w:basedOn w:val="Estruturadetpicos4"/>
    <w:qFormat/>
    <w:pPr>
      <w:spacing w:before="57"/>
    </w:pPr>
    <w:rPr>
      <w:sz w:val="40"/>
    </w:r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Contedodatabela">
    <w:name w:val="Conteúdo da tabela"/>
    <w:basedOn w:val="LO-normal"/>
    <w:qFormat/>
    <w:pPr>
      <w:suppressLineNumbers/>
    </w:pPr>
  </w:style>
  <w:style w:type="paragraph" w:customStyle="1" w:styleId="Contedodetabela">
    <w:name w:val="Conteúdo de tabela"/>
    <w:basedOn w:val="LO-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parag2">
    <w:name w:val="parag2"/>
    <w:basedOn w:val="LO-normal"/>
    <w:qFormat/>
    <w:pPr>
      <w:widowControl/>
      <w:spacing w:before="100" w:after="100"/>
    </w:pPr>
    <w:rPr>
      <w:kern w:val="2"/>
    </w:rPr>
  </w:style>
  <w:style w:type="paragraph" w:styleId="Commarcadores">
    <w:name w:val="List Bullet"/>
    <w:basedOn w:val="LO-normal"/>
    <w:qFormat/>
    <w:pPr>
      <w:contextualSpacing/>
    </w:pPr>
  </w:style>
  <w:style w:type="paragraph" w:styleId="Subttulo">
    <w:name w:val="Subtitle"/>
    <w:basedOn w:val="LO-normal"/>
    <w:next w:val="LO-normal"/>
    <w:qFormat/>
    <w:rPr>
      <w:i/>
      <w:color w:val="4F81BD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D16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tzk/QA2UT7/DRgEVh0Fnk6LrkTA==">AMUW2mVh9tfU4wx+S8SVdB5ONYiOo4H6QP+FTeM5vRZNHSGTiIuIJK5IpGp1MKCKlMpDWESXw8PAgydqOYbNRDkxJTLwp2tJ3ueHgtKwZd2LHTWMltW5hQ0jfhlAVbk0//GPQPY76ZmN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3742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Lopes dos Santos</dc:creator>
  <dc:description/>
  <cp:lastModifiedBy>Conta da Microsoft</cp:lastModifiedBy>
  <cp:revision>19</cp:revision>
  <cp:lastPrinted>2020-07-30T19:46:00Z</cp:lastPrinted>
  <dcterms:created xsi:type="dcterms:W3CDTF">2019-10-21T16:27:00Z</dcterms:created>
  <dcterms:modified xsi:type="dcterms:W3CDTF">2020-07-30T19:52:00Z</dcterms:modified>
  <dc:language>pt-BR</dc:language>
</cp:coreProperties>
</file>