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keepNext w:val="false"/>
        <w:keepLines w:val="false"/>
        <w:widowControl w:val="false"/>
        <w:pBdr/>
        <w:shd w:val="clear" w:fill="auto"/>
        <w:spacing w:lineRule="auto" w:line="276" w:before="0" w:after="0"/>
        <w:ind w:left="0" w:right="0" w:hanging="0"/>
        <w:jc w:val="left"/>
        <w:rPr/>
      </w:pPr>
      <w:r>
        <w:rPr/>
      </w:r>
    </w:p>
    <w:p>
      <w:pPr>
        <w:pStyle w:val="Normal1"/>
        <w:keepNext w:val="false"/>
        <w:keepLines w:val="false"/>
        <w:widowControl w:val="false"/>
        <w:pBdr/>
        <w:shd w:val="clear" w:fill="auto"/>
        <w:spacing w:lineRule="auto" w:line="276" w:before="0" w:after="0"/>
        <w:ind w:left="0" w:right="0" w:hanging="0"/>
        <w:jc w:val="left"/>
        <w:rPr>
          <w:i w:val="false"/>
          <w:i w:val="false"/>
          <w:caps w:val="false"/>
          <w:smallCaps w:val="false"/>
          <w:strike w:val="false"/>
          <w:dstrike w:val="false"/>
          <w:u w:val="none"/>
        </w:rPr>
      </w:pPr>
      <w:r>
        <w:rPr>
          <w:i w:val="false"/>
          <w:caps w:val="false"/>
          <w:smallCaps w:val="false"/>
          <w:strike w:val="false"/>
          <w:dstrike w:val="false"/>
          <w:u w:val="none"/>
          <w:shd w:fill="auto" w:val="clear"/>
        </w:rPr>
      </w:r>
    </w:p>
    <w:tbl>
      <w:tblPr>
        <w:tblStyle w:val="Table1"/>
        <w:tblW w:w="9180" w:type="dxa"/>
        <w:jc w:val="left"/>
        <w:tblInd w:w="0" w:type="dxa"/>
        <w:tblCellMar>
          <w:top w:w="0" w:type="dxa"/>
          <w:left w:w="108" w:type="dxa"/>
          <w:bottom w:w="0" w:type="dxa"/>
          <w:right w:w="108" w:type="dxa"/>
        </w:tblCellMar>
        <w:tblLook w:val="0400"/>
      </w:tblPr>
      <w:tblGrid>
        <w:gridCol w:w="2234"/>
        <w:gridCol w:w="6945"/>
      </w:tblGrid>
      <w:tr>
        <w:trPr/>
        <w:tc>
          <w:tcPr>
            <w:tcW w:w="2234" w:type="dxa"/>
            <w:tcBorders>
              <w:top w:val="single" w:sz="4" w:space="0" w:color="000000"/>
              <w:bottom w:val="single" w:sz="4" w:space="0" w:color="000000"/>
              <w:right w:val="single" w:sz="4" w:space="0" w:color="000000"/>
            </w:tcBorders>
            <w:shd w:fill="F2F2F2" w:val="clear"/>
            <w:vAlign w:val="center"/>
          </w:tcPr>
          <w:p>
            <w:pPr>
              <w:pStyle w:val="Normal1"/>
              <w:keepNext w:val="true"/>
              <w:keepLines w:val="false"/>
              <w:widowControl/>
              <w:pBdr/>
              <w:shd w:val="clear" w:fill="auto"/>
              <w:spacing w:lineRule="auto" w:line="240" w:before="0" w:after="0"/>
              <w:ind w:left="0" w:right="0" w:hanging="0"/>
              <w:jc w:val="both"/>
              <w:rPr>
                <w:i w:val="false"/>
                <w:i w:val="false"/>
                <w:caps w:val="false"/>
                <w:smallCaps w:val="false"/>
                <w:strike w:val="false"/>
                <w:dstrike w:val="false"/>
                <w:u w:val="none"/>
              </w:rPr>
            </w:pPr>
            <w:r>
              <w:rPr>
                <w:i w:val="false"/>
                <w:caps w:val="false"/>
                <w:smallCaps w:val="false"/>
                <w:strike w:val="false"/>
                <w:dstrike w:val="false"/>
                <w:u w:val="none"/>
                <w:shd w:fill="auto" w:val="clear"/>
              </w:rPr>
              <w:t>PROCESSO</w:t>
            </w:r>
          </w:p>
        </w:tc>
        <w:tc>
          <w:tcPr>
            <w:tcW w:w="6945" w:type="dxa"/>
            <w:tcBorders>
              <w:top w:val="single" w:sz="4" w:space="0" w:color="000000"/>
              <w:left w:val="single" w:sz="4" w:space="0" w:color="000000"/>
              <w:bottom w:val="single" w:sz="4" w:space="0" w:color="000000"/>
            </w:tcBorders>
            <w:shd w:fill="auto" w:val="clear"/>
          </w:tcPr>
          <w:p>
            <w:pPr>
              <w:pStyle w:val="Normal1"/>
              <w:keepNext w:val="false"/>
              <w:keepLines w:val="false"/>
              <w:widowControl/>
              <w:pBdr/>
              <w:shd w:val="clear" w:fill="auto"/>
              <w:tabs>
                <w:tab w:val="clear" w:pos="720"/>
                <w:tab w:val="left" w:pos="2780" w:leader="none"/>
                <w:tab w:val="center" w:pos="4320" w:leader="none"/>
                <w:tab w:val="right" w:pos="8640" w:leader="none"/>
              </w:tabs>
              <w:spacing w:lineRule="auto" w:line="240" w:before="0" w:after="0"/>
              <w:ind w:left="0" w:right="0" w:hanging="0"/>
              <w:jc w:val="both"/>
              <w:rPr>
                <w:i w:val="false"/>
                <w:i w:val="false"/>
                <w:caps w:val="false"/>
                <w:smallCaps w:val="false"/>
                <w:strike w:val="false"/>
                <w:dstrike w:val="false"/>
                <w:u w:val="none"/>
              </w:rPr>
            </w:pPr>
            <w:r>
              <w:rPr/>
              <w:t>PROTOCOLO SICCAU N.º 499987/2017</w:t>
            </w:r>
          </w:p>
        </w:tc>
      </w:tr>
      <w:tr>
        <w:trPr/>
        <w:tc>
          <w:tcPr>
            <w:tcW w:w="2234" w:type="dxa"/>
            <w:tcBorders>
              <w:top w:val="single" w:sz="4" w:space="0" w:color="000000"/>
              <w:bottom w:val="single" w:sz="4" w:space="0" w:color="000000"/>
              <w:right w:val="single" w:sz="4" w:space="0" w:color="000000"/>
            </w:tcBorders>
            <w:shd w:fill="F2F2F2" w:val="clear"/>
            <w:vAlign w:val="center"/>
          </w:tcPr>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both"/>
              <w:rPr>
                <w:b/>
                <w:b/>
                <w:i w:val="false"/>
                <w:i w:val="false"/>
                <w:caps w:val="false"/>
                <w:smallCaps w:val="false"/>
                <w:strike w:val="false"/>
                <w:dstrike w:val="false"/>
                <w:u w:val="none"/>
              </w:rPr>
            </w:pPr>
            <w:r>
              <w:rPr/>
              <w:t>INTERESSADO</w:t>
            </w:r>
          </w:p>
        </w:tc>
        <w:tc>
          <w:tcPr>
            <w:tcW w:w="6945" w:type="dxa"/>
            <w:tcBorders>
              <w:top w:val="single" w:sz="4" w:space="0" w:color="000000"/>
              <w:left w:val="single" w:sz="4" w:space="0" w:color="000000"/>
              <w:bottom w:val="single" w:sz="4" w:space="0" w:color="000000"/>
            </w:tcBorders>
            <w:shd w:fill="auto" w:val="clear"/>
            <w:vAlign w:val="center"/>
          </w:tcPr>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both"/>
              <w:rPr>
                <w:color w:val="000000"/>
                <w:highlight w:val="black"/>
              </w:rPr>
            </w:pPr>
            <w:r>
              <w:rPr>
                <w:color w:val="000000"/>
                <w:highlight w:val="black"/>
              </w:rPr>
              <w:t>xxxxxxxxxxxxxxxxxxxxxxxxxx</w:t>
            </w:r>
          </w:p>
        </w:tc>
      </w:tr>
      <w:tr>
        <w:trPr>
          <w:trHeight w:val="94" w:hRule="atLeast"/>
        </w:trPr>
        <w:tc>
          <w:tcPr>
            <w:tcW w:w="2234" w:type="dxa"/>
            <w:tcBorders>
              <w:top w:val="single" w:sz="4" w:space="0" w:color="000000"/>
              <w:bottom w:val="single" w:sz="4" w:space="0" w:color="000000"/>
              <w:right w:val="single" w:sz="4" w:space="0" w:color="000000"/>
            </w:tcBorders>
            <w:shd w:fill="F2F2F2" w:val="clear"/>
            <w:vAlign w:val="center"/>
          </w:tcPr>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both"/>
              <w:rPr>
                <w:i w:val="false"/>
                <w:i w:val="false"/>
                <w:caps w:val="false"/>
                <w:smallCaps w:val="false"/>
                <w:strike w:val="false"/>
                <w:dstrike w:val="false"/>
                <w:u w:val="none"/>
              </w:rPr>
            </w:pPr>
            <w:r>
              <w:rPr>
                <w:i w:val="false"/>
                <w:caps w:val="false"/>
                <w:smallCaps w:val="false"/>
                <w:strike w:val="false"/>
                <w:dstrike w:val="false"/>
                <w:u w:val="none"/>
                <w:shd w:fill="auto" w:val="clear"/>
              </w:rPr>
              <w:t>ASSUNTO</w:t>
            </w:r>
          </w:p>
        </w:tc>
        <w:tc>
          <w:tcPr>
            <w:tcW w:w="6945" w:type="dxa"/>
            <w:tcBorders>
              <w:top w:val="single" w:sz="4" w:space="0" w:color="000000"/>
              <w:left w:val="single" w:sz="4" w:space="0" w:color="000000"/>
              <w:bottom w:val="single" w:sz="4" w:space="0" w:color="000000"/>
            </w:tcBorders>
            <w:shd w:fill="auto" w:val="clear"/>
            <w:vAlign w:val="center"/>
          </w:tcPr>
          <w:p>
            <w:pPr>
              <w:pStyle w:val="Normal1"/>
              <w:shd w:val="clear" w:fill="FFFFFF"/>
              <w:rPr/>
            </w:pPr>
            <w:r>
              <w:rPr/>
              <w:t>DENÚNCIA DE IRREGULARIDADES EM PROJETO E OBRA</w:t>
            </w:r>
          </w:p>
        </w:tc>
      </w:tr>
    </w:tbl>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center"/>
        <w:rPr>
          <w:b/>
          <w:b/>
          <w:i w:val="false"/>
          <w:i w:val="false"/>
          <w:caps w:val="false"/>
          <w:smallCaps w:val="false"/>
          <w:strike w:val="false"/>
          <w:dstrike w:val="false"/>
          <w:u w:val="none"/>
        </w:rPr>
      </w:pPr>
      <w:r>
        <w:rPr>
          <w:b/>
          <w:i w:val="false"/>
          <w:caps w:val="false"/>
          <w:smallCaps w:val="false"/>
          <w:strike w:val="false"/>
          <w:dstrike w:val="false"/>
          <w:u w:val="none"/>
          <w:shd w:fill="auto" w:val="clear"/>
        </w:rPr>
      </w:r>
    </w:p>
    <w:tbl>
      <w:tblPr>
        <w:tblStyle w:val="Table2"/>
        <w:tblW w:w="9180" w:type="dxa"/>
        <w:jc w:val="left"/>
        <w:tblInd w:w="0" w:type="dxa"/>
        <w:tblCellMar>
          <w:top w:w="0" w:type="dxa"/>
          <w:left w:w="108" w:type="dxa"/>
          <w:bottom w:w="0" w:type="dxa"/>
          <w:right w:w="108" w:type="dxa"/>
        </w:tblCellMar>
        <w:tblLook w:val="0400"/>
      </w:tblPr>
      <w:tblGrid>
        <w:gridCol w:w="9180"/>
      </w:tblGrid>
      <w:tr>
        <w:trPr/>
        <w:tc>
          <w:tcPr>
            <w:tcW w:w="9180" w:type="dxa"/>
            <w:tcBorders>
              <w:top w:val="single" w:sz="4" w:space="0" w:color="000000"/>
              <w:bottom w:val="single" w:sz="4" w:space="0" w:color="000000"/>
            </w:tcBorders>
            <w:shd w:fill="F2F2F2" w:val="clear"/>
          </w:tcPr>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0" w:hanging="0"/>
              <w:jc w:val="center"/>
              <w:rPr>
                <w:b/>
                <w:b/>
                <w:i w:val="false"/>
                <w:i w:val="false"/>
                <w:caps w:val="false"/>
                <w:smallCaps w:val="false"/>
                <w:strike w:val="false"/>
                <w:dstrike w:val="false"/>
                <w:u w:val="none"/>
              </w:rPr>
            </w:pPr>
            <w:r>
              <w:rPr>
                <w:b/>
                <w:i w:val="false"/>
                <w:caps w:val="false"/>
                <w:smallCaps w:val="false"/>
                <w:strike w:val="false"/>
                <w:dstrike w:val="false"/>
                <w:u w:val="none"/>
                <w:shd w:fill="auto" w:val="clear"/>
              </w:rPr>
              <w:t>DELIBERAÇÃO PLENÁRIA DPODF Nº 03</w:t>
            </w:r>
            <w:r>
              <w:rPr>
                <w:b/>
              </w:rPr>
              <w:t>73</w:t>
            </w:r>
            <w:r>
              <w:rPr>
                <w:b/>
                <w:i w:val="false"/>
                <w:caps w:val="false"/>
                <w:smallCaps w:val="false"/>
                <w:strike w:val="false"/>
                <w:dstrike w:val="false"/>
                <w:u w:val="none"/>
                <w:shd w:fill="auto" w:val="clear"/>
              </w:rPr>
              <w:t>/2020</w:t>
            </w:r>
          </w:p>
        </w:tc>
      </w:tr>
    </w:tbl>
    <w:p>
      <w:pPr>
        <w:pStyle w:val="Normal1"/>
        <w:keepNext w:val="false"/>
        <w:keepLines w:val="false"/>
        <w:widowControl/>
        <w:pBdr/>
        <w:shd w:val="clear" w:fill="auto"/>
        <w:tabs>
          <w:tab w:val="clear" w:pos="720"/>
          <w:tab w:val="center" w:pos="4320" w:leader="none"/>
          <w:tab w:val="left" w:pos="4962" w:leader="none"/>
          <w:tab w:val="right" w:pos="8640" w:leader="none"/>
        </w:tabs>
        <w:spacing w:lineRule="auto" w:line="240" w:before="0" w:after="0"/>
        <w:ind w:left="0" w:right="0" w:hanging="0"/>
        <w:jc w:val="both"/>
        <w:rPr>
          <w:i w:val="false"/>
          <w:i w:val="false"/>
          <w:caps w:val="false"/>
          <w:smallCaps w:val="false"/>
          <w:strike w:val="false"/>
          <w:dstrike w:val="false"/>
          <w:u w:val="none"/>
        </w:rPr>
      </w:pPr>
      <w:r>
        <w:rPr>
          <w:i w:val="false"/>
          <w:caps w:val="false"/>
          <w:smallCaps w:val="false"/>
          <w:strike w:val="false"/>
          <w:dstrike w:val="false"/>
          <w:u w:val="none"/>
          <w:shd w:fill="auto" w:val="clear"/>
        </w:rPr>
        <w:tab/>
        <w:tab/>
      </w:r>
    </w:p>
    <w:p>
      <w:pPr>
        <w:pStyle w:val="Normal1"/>
        <w:tabs>
          <w:tab w:val="clear" w:pos="720"/>
          <w:tab w:val="center" w:pos="4320" w:leader="none"/>
          <w:tab w:val="right" w:pos="8640" w:leader="none"/>
        </w:tabs>
        <w:ind w:left="5102" w:hanging="0"/>
        <w:rPr>
          <w:highlight w:val="white"/>
        </w:rPr>
      </w:pPr>
      <w:r>
        <w:rPr>
          <w:highlight w:val="white"/>
        </w:rPr>
      </w:r>
    </w:p>
    <w:p>
      <w:pPr>
        <w:pStyle w:val="Normal1"/>
        <w:tabs>
          <w:tab w:val="clear" w:pos="720"/>
          <w:tab w:val="center" w:pos="4320" w:leader="none"/>
          <w:tab w:val="right" w:pos="8640" w:leader="none"/>
        </w:tabs>
        <w:ind w:left="5102" w:hanging="0"/>
        <w:rPr/>
      </w:pPr>
      <w:r>
        <w:rPr>
          <w:highlight w:val="white"/>
        </w:rPr>
        <w:t>Aprova o relatório e o voto fundamentado do Conselheiro Relator, pela aplicação de sanção, uma vez que foi constatada infração ético-disciplinar.</w:t>
      </w:r>
    </w:p>
    <w:p>
      <w:pPr>
        <w:pStyle w:val="Normal1"/>
        <w:rPr/>
      </w:pPr>
      <w:r>
        <w:rPr/>
      </w:r>
    </w:p>
    <w:p>
      <w:pPr>
        <w:pStyle w:val="Normal1"/>
        <w:pBdr/>
        <w:shd w:val="clear" w:fill="FFFFFF"/>
        <w:tabs>
          <w:tab w:val="clear" w:pos="720"/>
          <w:tab w:val="center" w:pos="4320" w:leader="none"/>
          <w:tab w:val="right" w:pos="8640" w:leader="none"/>
        </w:tabs>
        <w:rPr>
          <w:highlight w:val="white"/>
        </w:rPr>
      </w:pPr>
      <w:r>
        <w:rPr>
          <w:highlight w:val="white"/>
        </w:rPr>
      </w:r>
    </w:p>
    <w:p>
      <w:pPr>
        <w:pStyle w:val="Normal1"/>
        <w:pBdr/>
        <w:shd w:val="clear" w:fill="FFFFFF"/>
        <w:tabs>
          <w:tab w:val="clear" w:pos="720"/>
          <w:tab w:val="center" w:pos="4320" w:leader="none"/>
          <w:tab w:val="right" w:pos="8640" w:leader="none"/>
        </w:tabs>
        <w:rPr/>
      </w:pPr>
      <w:r>
        <w:rPr>
          <w:highlight w:val="white"/>
        </w:rPr>
        <w:t>O PLENÁRIO DO CONSELHO DE ARQUITETURA E URBANISMO DO DISTRITO FEDERAL - CAU/DF, no uso das competências que lhe confere a seção II, art. 29, do Regimento Interno do CAU/DF, e reunido ordinariamente por meio de videoconferência, no dia 27 de julho de 2020, após análise do processo em epígrafe, e</w:t>
      </w:r>
    </w:p>
    <w:p>
      <w:pPr>
        <w:pStyle w:val="Normal1"/>
        <w:pBdr/>
        <w:shd w:val="clear" w:fill="FFFFFF"/>
        <w:tabs>
          <w:tab w:val="clear" w:pos="720"/>
          <w:tab w:val="center" w:pos="4320" w:leader="none"/>
          <w:tab w:val="right" w:pos="8640" w:leader="none"/>
        </w:tabs>
        <w:ind w:left="-140" w:hanging="0"/>
        <w:rPr/>
      </w:pPr>
      <w:r>
        <w:rPr/>
      </w:r>
    </w:p>
    <w:p>
      <w:pPr>
        <w:pStyle w:val="Normal1"/>
        <w:pBdr/>
        <w:shd w:val="clear" w:fill="FFFFFF"/>
        <w:tabs>
          <w:tab w:val="clear" w:pos="720"/>
          <w:tab w:val="center" w:pos="4320" w:leader="none"/>
          <w:tab w:val="right" w:pos="8640" w:leader="none"/>
        </w:tabs>
        <w:ind w:left="0" w:hanging="0"/>
        <w:rPr>
          <w:highlight w:val="white"/>
        </w:rPr>
      </w:pPr>
      <w:r>
        <w:rPr/>
        <w:t xml:space="preserve">Considerando </w:t>
      </w:r>
      <w:r>
        <w:rPr>
          <w:highlight w:val="white"/>
        </w:rPr>
        <w:t>o artigo 29, inciso LXIV, do Regimento Interno do CAU/DF, que dispõe como competência do Plenário do CAU/DF:</w:t>
      </w:r>
      <w:r>
        <w:rPr/>
        <w:t xml:space="preserve"> “</w:t>
      </w:r>
      <w:r>
        <w:rPr>
          <w:i/>
          <w:highlight w:val="white"/>
        </w:rPr>
        <w:t>apreciar e deliberar sobre julgamento, em primeira instância, de processos de infração ético-disciplinares, na forma dos atos normativos do CAU/BR</w:t>
      </w:r>
      <w:r>
        <w:rPr>
          <w:highlight w:val="white"/>
        </w:rPr>
        <w:t>”;</w:t>
      </w:r>
    </w:p>
    <w:p>
      <w:pPr>
        <w:pStyle w:val="Normal1"/>
        <w:pBdr/>
        <w:shd w:val="clear" w:fill="FFFFFF"/>
        <w:tabs>
          <w:tab w:val="clear" w:pos="720"/>
          <w:tab w:val="center" w:pos="4320" w:leader="none"/>
          <w:tab w:val="right" w:pos="8640" w:leader="none"/>
        </w:tabs>
        <w:ind w:left="0" w:hanging="0"/>
        <w:rPr>
          <w:highlight w:val="white"/>
        </w:rPr>
      </w:pPr>
      <w:r>
        <w:rPr>
          <w:highlight w:val="white"/>
        </w:rPr>
      </w:r>
    </w:p>
    <w:p>
      <w:pPr>
        <w:pStyle w:val="Normal1"/>
        <w:pBdr/>
        <w:shd w:val="clear" w:fill="FFFFFF"/>
        <w:tabs>
          <w:tab w:val="clear" w:pos="720"/>
          <w:tab w:val="center" w:pos="4320" w:leader="none"/>
          <w:tab w:val="right" w:pos="8640" w:leader="none"/>
        </w:tabs>
        <w:ind w:left="0" w:hanging="0"/>
        <w:rPr/>
      </w:pPr>
      <w:r>
        <w:rPr>
          <w:highlight w:val="white"/>
        </w:rPr>
        <w:t xml:space="preserve">Considerando que trata, o presente processo, de denúncia feita pela Senhora </w:t>
      </w:r>
      <w:r>
        <w:rPr>
          <w:color w:val="000000"/>
          <w:highlight w:val="black"/>
        </w:rPr>
        <w:t>xxxxxxxxxxxxxxxxxxxxxx</w:t>
      </w:r>
      <w:r>
        <w:rPr>
          <w:highlight w:val="white"/>
        </w:rPr>
        <w:t xml:space="preserve">, em desfavor da arquiteta e urbanista </w:t>
      </w:r>
      <w:r>
        <w:rPr>
          <w:color w:val="000000"/>
          <w:highlight w:val="black"/>
        </w:rPr>
        <w:t>xxxxxxxxxxxxxxxxxxxxxxxxxxxx</w:t>
      </w:r>
      <w:r>
        <w:rPr>
          <w:highlight w:val="white"/>
        </w:rPr>
        <w:t xml:space="preserve">, por suposto cometimento de falta ético-disciplinar referente a supostas irregularidades em projeto e obra de reforma do apartamento </w:t>
      </w:r>
      <w:r>
        <w:rPr>
          <w:color w:val="000000"/>
          <w:highlight w:val="black"/>
        </w:rPr>
        <w:t>xxxxxxxxxxxxxxxxxxxxxxxxxxxxx</w:t>
      </w:r>
      <w:r>
        <w:rPr>
          <w:highlight w:val="white"/>
        </w:rPr>
        <w:t>, em Brasília – DF, além de descumprimento contratual na prestação de serviços; e</w:t>
      </w:r>
    </w:p>
    <w:p>
      <w:pPr>
        <w:pStyle w:val="Normal1"/>
        <w:pBdr/>
        <w:shd w:val="clear" w:fill="FFFFFF"/>
        <w:tabs>
          <w:tab w:val="clear" w:pos="720"/>
          <w:tab w:val="center" w:pos="4320" w:leader="none"/>
          <w:tab w:val="right" w:pos="8640" w:leader="none"/>
        </w:tabs>
        <w:ind w:left="0" w:hanging="0"/>
        <w:rPr>
          <w:highlight w:val="white"/>
        </w:rPr>
      </w:pPr>
      <w:r>
        <w:rPr>
          <w:highlight w:val="white"/>
        </w:rPr>
      </w:r>
    </w:p>
    <w:p>
      <w:pPr>
        <w:pStyle w:val="Normal1"/>
        <w:pBdr/>
        <w:shd w:val="clear" w:fill="FFFFFF"/>
        <w:tabs>
          <w:tab w:val="clear" w:pos="720"/>
          <w:tab w:val="center" w:pos="4320" w:leader="none"/>
          <w:tab w:val="right" w:pos="8640" w:leader="none"/>
        </w:tabs>
        <w:ind w:left="0" w:hanging="0"/>
        <w:rPr/>
      </w:pPr>
      <w:r>
        <w:rPr>
          <w:highlight w:val="white"/>
        </w:rPr>
        <w:t xml:space="preserve">Considerando o relatório e voto fundamentado do Conselheiro Relator Rogério Markiewicz, aprovado por unanimidade de votos na Comissão de Ética e Disciplina do CAU/DF, conforme a Deliberação n.º </w:t>
      </w:r>
      <w:r>
        <w:rPr>
          <w:color w:val="000000"/>
          <w:highlight w:val="black"/>
        </w:rPr>
        <w:t>00</w:t>
      </w:r>
      <w:r>
        <w:rPr>
          <w:color w:val="000000"/>
          <w:highlight w:val="black"/>
        </w:rPr>
        <w:t>x</w:t>
      </w:r>
      <w:r>
        <w:rPr>
          <w:color w:val="000000"/>
          <w:highlight w:val="black"/>
        </w:rPr>
        <w:t>/2020</w:t>
      </w:r>
      <w:r>
        <w:rPr>
          <w:highlight w:val="white"/>
        </w:rPr>
        <w:t xml:space="preserve"> - CED-CAU/DF, que propôs a penalidade de advertência pública, nos termos previstos no anexo da Resolução n.º 143, de 2017.</w:t>
      </w:r>
    </w:p>
    <w:p>
      <w:pPr>
        <w:pStyle w:val="Normal1"/>
        <w:pBdr/>
        <w:shd w:val="clear" w:fill="FFFFFF"/>
        <w:tabs>
          <w:tab w:val="clear" w:pos="720"/>
          <w:tab w:val="center" w:pos="4320" w:leader="none"/>
          <w:tab w:val="right" w:pos="8640" w:leader="none"/>
        </w:tabs>
        <w:rPr/>
      </w:pPr>
      <w:r>
        <w:rPr/>
        <w:t xml:space="preserve"> </w:t>
      </w:r>
    </w:p>
    <w:p>
      <w:pPr>
        <w:pStyle w:val="Normal1"/>
        <w:pBdr/>
        <w:shd w:val="clear" w:fill="FFFFFF"/>
        <w:tabs>
          <w:tab w:val="clear" w:pos="720"/>
          <w:tab w:val="center" w:pos="4320" w:leader="none"/>
          <w:tab w:val="right" w:pos="8640" w:leader="none"/>
        </w:tabs>
        <w:rPr>
          <w:b/>
          <w:b/>
        </w:rPr>
      </w:pPr>
      <w:r>
        <w:rPr>
          <w:b/>
        </w:rPr>
      </w:r>
    </w:p>
    <w:p>
      <w:pPr>
        <w:pStyle w:val="Normal1"/>
        <w:pBdr/>
        <w:shd w:val="clear" w:fill="FFFFFF"/>
        <w:tabs>
          <w:tab w:val="clear" w:pos="720"/>
          <w:tab w:val="center" w:pos="4320" w:leader="none"/>
          <w:tab w:val="right" w:pos="8640" w:leader="none"/>
        </w:tabs>
        <w:rPr/>
      </w:pPr>
      <w:r>
        <w:rPr>
          <w:b/>
        </w:rPr>
        <w:t>DELIBEROU:</w:t>
      </w:r>
      <w:r>
        <w:rPr/>
        <w:t xml:space="preserve"> </w:t>
      </w:r>
    </w:p>
    <w:p>
      <w:pPr>
        <w:pStyle w:val="Normal1"/>
        <w:pBdr/>
        <w:shd w:val="clear" w:fill="FFFFFF"/>
        <w:tabs>
          <w:tab w:val="clear" w:pos="720"/>
          <w:tab w:val="center" w:pos="4320" w:leader="none"/>
          <w:tab w:val="right" w:pos="8640" w:leader="none"/>
        </w:tabs>
        <w:rPr/>
      </w:pPr>
      <w:r>
        <w:rPr/>
        <w:t xml:space="preserve"> </w:t>
      </w:r>
    </w:p>
    <w:p>
      <w:pPr>
        <w:pStyle w:val="Normal1"/>
        <w:pBdr/>
        <w:shd w:val="clear" w:fill="FFFFFF"/>
        <w:tabs>
          <w:tab w:val="clear" w:pos="720"/>
          <w:tab w:val="center" w:pos="4320" w:leader="none"/>
          <w:tab w:val="right" w:pos="8640" w:leader="none"/>
        </w:tabs>
        <w:rPr/>
      </w:pPr>
      <w:r>
        <w:rPr/>
      </w:r>
    </w:p>
    <w:p>
      <w:pPr>
        <w:pStyle w:val="Normal1"/>
        <w:pBdr/>
        <w:shd w:val="clear" w:fill="FFFFFF"/>
        <w:tabs>
          <w:tab w:val="clear" w:pos="720"/>
          <w:tab w:val="center" w:pos="4320" w:leader="none"/>
          <w:tab w:val="right" w:pos="8640" w:leader="none"/>
        </w:tabs>
        <w:rPr/>
      </w:pPr>
      <w:r>
        <w:rPr/>
        <w:t xml:space="preserve">1 – </w:t>
      </w:r>
      <w:r>
        <w:rPr>
          <w:highlight w:val="white"/>
        </w:rPr>
        <w:t xml:space="preserve">Por aprovar o relato e voto do conselheiro relator pela aplicação penalidade de ADVERTÊNCIA PÚBLICA por cometimento de falta ética por parte da arquiteta e urbanista </w:t>
      </w:r>
      <w:r>
        <w:rPr>
          <w:color w:val="000000"/>
          <w:highlight w:val="black"/>
        </w:rPr>
        <w:t>xxxxxxxxxxxxxxxxxxxxxxxx</w:t>
      </w:r>
      <w:r>
        <w:rPr>
          <w:highlight w:val="white"/>
        </w:rPr>
        <w:t>, por ofensa ao item 5.2.10 do Código de Ética e Disciplina para Arquitetos e Urbanistas do CAU/BR;</w:t>
      </w:r>
    </w:p>
    <w:p>
      <w:pPr>
        <w:pStyle w:val="Normal1"/>
        <w:pBdr/>
        <w:shd w:val="clear" w:fill="FFFFFF"/>
        <w:tabs>
          <w:tab w:val="clear" w:pos="720"/>
          <w:tab w:val="center" w:pos="4320" w:leader="none"/>
          <w:tab w:val="right" w:pos="8640" w:leader="none"/>
        </w:tabs>
        <w:rPr/>
      </w:pPr>
      <w:r>
        <w:rPr/>
        <w:t xml:space="preserve"> </w:t>
      </w:r>
    </w:p>
    <w:p>
      <w:pPr>
        <w:pStyle w:val="Normal1"/>
        <w:pBdr/>
        <w:shd w:val="clear" w:fill="FFFFFF"/>
        <w:tabs>
          <w:tab w:val="clear" w:pos="720"/>
          <w:tab w:val="center" w:pos="4320" w:leader="none"/>
          <w:tab w:val="right" w:pos="8640" w:leader="none"/>
        </w:tabs>
        <w:rPr/>
      </w:pPr>
      <w:r>
        <w:rPr/>
        <w:t xml:space="preserve">2 – Encaminhar esta deliberação para publicação no sítio eletrônico do CAU/DF. </w:t>
      </w:r>
    </w:p>
    <w:p>
      <w:pPr>
        <w:pStyle w:val="Normal1"/>
        <w:ind w:right="227" w:hanging="0"/>
        <w:rPr/>
      </w:pPr>
      <w:r>
        <w:rPr/>
      </w:r>
    </w:p>
    <w:p>
      <w:pPr>
        <w:pStyle w:val="Normal1"/>
        <w:rPr/>
      </w:pPr>
      <w:r>
        <w:rPr/>
      </w:r>
    </w:p>
    <w:p>
      <w:pPr>
        <w:pStyle w:val="Normal1"/>
        <w:rPr/>
      </w:pPr>
      <w:r>
        <w:rPr/>
        <w:t>Esta deliberação entra em vigor nesta data.</w:t>
      </w:r>
    </w:p>
    <w:p>
      <w:pPr>
        <w:pStyle w:val="Normal1"/>
        <w:rPr/>
      </w:pPr>
      <w:r>
        <w:rPr/>
      </w:r>
    </w:p>
    <w:p>
      <w:pPr>
        <w:pStyle w:val="Normal1"/>
        <w:rPr/>
      </w:pPr>
      <w:r>
        <w:rPr/>
      </w:r>
    </w:p>
    <w:p>
      <w:pPr>
        <w:pStyle w:val="Normal1"/>
        <w:rPr/>
      </w:pPr>
      <w:r>
        <w:rPr/>
        <w:t xml:space="preserve">Com </w:t>
      </w:r>
      <w:r>
        <w:rPr>
          <w:b/>
        </w:rPr>
        <w:t>10 votos favoráveis</w:t>
      </w:r>
      <w:r>
        <w:rPr/>
        <w:t xml:space="preserve"> dos conselheiros: André Bello, Antônio Menezes Júnior, Daniel Szwec dos Santos Fernandes, Gabriela de Souza Tenorio, Giselle Moll Mascarenhas, João Gilberto de Carvalho Accioly, Luciana Jobim Navarro, Mônica Andréa Blanco, Pedro de Almeida Grilo e Rogério Markiewicz; </w:t>
      </w:r>
      <w:r>
        <w:rPr>
          <w:b/>
        </w:rPr>
        <w:t>00</w:t>
      </w:r>
      <w:r>
        <w:rPr/>
        <w:t xml:space="preserve"> ausência; </w:t>
      </w:r>
      <w:r>
        <w:rPr>
          <w:b/>
        </w:rPr>
        <w:t>00</w:t>
      </w:r>
      <w:r>
        <w:rPr/>
        <w:t xml:space="preserve"> voto contrário e </w:t>
      </w:r>
      <w:r>
        <w:rPr>
          <w:b/>
        </w:rPr>
        <w:t>00</w:t>
      </w:r>
      <w:r>
        <w:rPr/>
        <w:t xml:space="preserve"> abstenção.</w:t>
      </w:r>
    </w:p>
    <w:p>
      <w:pPr>
        <w:pStyle w:val="Normal1"/>
        <w:ind w:left="-142" w:hanging="0"/>
        <w:jc w:val="center"/>
        <w:rPr/>
      </w:pPr>
      <w:r>
        <w:rPr/>
      </w:r>
    </w:p>
    <w:p>
      <w:pPr>
        <w:pStyle w:val="Normal1"/>
        <w:ind w:left="-142" w:hanging="0"/>
        <w:jc w:val="center"/>
        <w:rPr/>
      </w:pPr>
      <w:r>
        <w:rPr/>
      </w:r>
    </w:p>
    <w:p>
      <w:pPr>
        <w:pStyle w:val="Normal1"/>
        <w:ind w:left="-142" w:hanging="0"/>
        <w:jc w:val="center"/>
        <w:rPr/>
      </w:pPr>
      <w:r>
        <w:rPr/>
        <w:t>Brasília - DF, 27 de julho de 2020.</w:t>
      </w:r>
    </w:p>
    <w:p>
      <w:pPr>
        <w:pStyle w:val="Normal1"/>
        <w:rPr/>
      </w:pPr>
      <w:r>
        <w:rPr/>
      </w:r>
    </w:p>
    <w:p>
      <w:pPr>
        <w:pStyle w:val="Normal1"/>
        <w:rPr/>
      </w:pPr>
      <w:r>
        <w:rPr/>
      </w:r>
    </w:p>
    <w:p>
      <w:pPr>
        <w:pStyle w:val="Normal1"/>
        <w:rPr/>
      </w:pPr>
      <w:r>
        <w:rPr/>
      </w:r>
    </w:p>
    <w:p>
      <w:pPr>
        <w:pStyle w:val="Normal1"/>
        <w:rPr/>
      </w:pPr>
      <w:r>
        <w:rPr/>
      </w:r>
    </w:p>
    <w:p>
      <w:pPr>
        <w:pStyle w:val="Normal1"/>
        <w:spacing w:lineRule="auto" w:line="276"/>
        <w:ind w:left="-142" w:hanging="0"/>
        <w:jc w:val="center"/>
        <w:rPr>
          <w:b/>
          <w:b/>
        </w:rPr>
      </w:pPr>
      <w:r>
        <w:rPr>
          <w:b/>
        </w:rPr>
        <w:t xml:space="preserve">Daniel Mangabeira da Vinha </w:t>
      </w:r>
    </w:p>
    <w:p>
      <w:pPr>
        <w:pStyle w:val="Normal1"/>
        <w:spacing w:lineRule="auto" w:line="276"/>
        <w:ind w:left="-142" w:hanging="0"/>
        <w:jc w:val="center"/>
        <w:rPr/>
      </w:pPr>
      <w:r>
        <w:rPr/>
        <w:t>Presidente do CAU/DF</w:t>
      </w:r>
    </w:p>
    <w:sectPr>
      <w:headerReference w:type="default" r:id="rId2"/>
      <w:footerReference w:type="default" r:id="rId3"/>
      <w:type w:val="nextPage"/>
      <w:pgSz w:w="11906" w:h="16838"/>
      <w:pgMar w:left="1701" w:right="1134" w:header="284" w:top="1701" w:footer="227"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Georgia">
    <w:charset w:val="00"/>
    <w:family w:val="roman"/>
    <w:pitch w:val="variable"/>
  </w:font>
  <w:font w:name="DaxCondensed-Regular">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ind w:left="-1701" w:right="-851" w:hanging="0"/>
      <w:jc w:val="center"/>
      <w:rPr/>
    </w:pPr>
    <w:r>
      <mc:AlternateContent>
        <mc:Choice Requires="wps">
          <w:drawing>
            <wp:anchor behindDoc="1" distT="0" distB="0" distL="0" distR="0" simplePos="0" locked="0" layoutInCell="1" allowOverlap="1" relativeHeight="3">
              <wp:simplePos x="0" y="0"/>
              <wp:positionH relativeFrom="column">
                <wp:posOffset>-51435</wp:posOffset>
              </wp:positionH>
              <wp:positionV relativeFrom="paragraph">
                <wp:posOffset>-118745</wp:posOffset>
              </wp:positionV>
              <wp:extent cx="5772785" cy="57785"/>
              <wp:effectExtent l="0" t="0" r="0" b="0"/>
              <wp:wrapNone/>
              <wp:docPr id="1" name="Figura1"/>
              <a:graphic xmlns:a="http://schemas.openxmlformats.org/drawingml/2006/main">
                <a:graphicData uri="http://schemas.microsoft.com/office/word/2010/wordprocessingShape">
                  <wps:wsp>
                    <wps:cNvSpPr/>
                    <wps:spPr>
                      <a:xfrm flipH="1" rot="10800000">
                        <a:off x="0" y="0"/>
                        <a:ext cx="5772240" cy="57240"/>
                      </a:xfrm>
                      <a:custGeom>
                        <a:avLst/>
                        <a:gdLst/>
                        <a:ahLst/>
                        <a:rect l="l" t="t" r="r" b="b"/>
                        <a:pathLst>
                          <a:path w="21600" h="21600">
                            <a:moveTo>
                              <a:pt x="0" y="0"/>
                            </a:moveTo>
                            <a:lnTo>
                              <a:pt x="21600" y="21600"/>
                            </a:lnTo>
                          </a:path>
                        </a:pathLst>
                      </a:custGeom>
                      <a:noFill/>
                      <a:ln w="19080">
                        <a:solidFill>
                          <a:srgbClr val="1c3942"/>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Figura1" stroked="t" style="position:absolute;margin-left:-4.05pt;margin-top:-9.35pt;width:454.45pt;height:4.45pt;flip:x;rotation:180" type="shapetype_32">
              <w10:wrap type="none"/>
              <v:fill o:detectmouseclick="t" on="false"/>
              <v:stroke color="#1c3942" weight="19080" joinstyle="round" endcap="flat"/>
            </v:shape>
          </w:pict>
        </mc:Fallback>
      </mc:AlternateContent>
    </w:r>
    <w:r>
      <w:rPr>
        <w:rFonts w:eastAsia="DaxCondensed-Regular" w:cs="DaxCondensed-Regular" w:ascii="DaxCondensed-Regular" w:hAnsi="DaxCondensed-Regular"/>
        <w:color w:val="1C3942"/>
        <w:sz w:val="16"/>
        <w:szCs w:val="16"/>
      </w:rPr>
      <w:t xml:space="preserve">Página </w:t>
    </w:r>
    <w:r>
      <w:rPr/>
      <w:fldChar w:fldCharType="begin"/>
    </w:r>
    <w:r>
      <w:rPr/>
      <w:instrText> PAGE </w:instrText>
    </w:r>
    <w:r>
      <w:rPr/>
      <w:fldChar w:fldCharType="separate"/>
    </w:r>
    <w:r>
      <w:rPr/>
      <w:t>2</w:t>
    </w:r>
    <w:r>
      <w:rPr/>
      <w:fldChar w:fldCharType="end"/>
    </w:r>
    <w:r>
      <w:rPr>
        <w:rFonts w:eastAsia="DaxCondensed-Regular" w:cs="DaxCondensed-Regular" w:ascii="DaxCondensed-Regular" w:hAnsi="DaxCondensed-Regular"/>
        <w:color w:val="1C3942"/>
        <w:sz w:val="16"/>
        <w:szCs w:val="16"/>
      </w:rPr>
      <w:t xml:space="preserve"> de </w:t>
    </w:r>
    <w:r>
      <w:rPr/>
      <w:fldChar w:fldCharType="begin"/>
    </w:r>
    <w:r>
      <w:rPr/>
      <w:instrText> NUMPAGES </w:instrText>
    </w:r>
    <w:r>
      <w:rPr/>
      <w:fldChar w:fldCharType="separate"/>
    </w:r>
    <w:r>
      <w:rPr/>
      <w:t>2</w:t>
    </w:r>
    <w:r>
      <w:rPr/>
      <w:fldChar w:fldCharType="end"/>
    </w:r>
  </w:p>
  <w:p>
    <w:pPr>
      <w:pStyle w:val="Normal1"/>
      <w:ind w:left="-1701" w:right="-851" w:hanging="0"/>
      <w:jc w:val="center"/>
      <w:rPr>
        <w:rFonts w:ascii="DaxCondensed-Regular" w:hAnsi="DaxCondensed-Regular" w:eastAsia="DaxCondensed-Regular" w:cs="DaxCondensed-Regular"/>
        <w:color w:val="1C3942"/>
        <w:sz w:val="8"/>
        <w:szCs w:val="8"/>
      </w:rPr>
    </w:pPr>
    <w:r>
      <w:rPr>
        <w:rFonts w:eastAsia="DaxCondensed-Regular" w:cs="DaxCondensed-Regular" w:ascii="DaxCondensed-Regular" w:hAnsi="DaxCondensed-Regular"/>
        <w:color w:val="1C3942"/>
        <w:sz w:val="8"/>
        <w:szCs w:val="8"/>
      </w:rPr>
    </w:r>
  </w:p>
  <w:p>
    <w:pPr>
      <w:pStyle w:val="Normal1"/>
      <w:ind w:left="-1701" w:right="-7" w:firstLine="1701"/>
      <w:jc w:val="center"/>
      <w:rPr>
        <w:rFonts w:ascii="DaxCondensed-Regular" w:hAnsi="DaxCondensed-Regular" w:eastAsia="DaxCondensed-Regular" w:cs="DaxCondensed-Regular"/>
        <w:color w:val="1C3942"/>
        <w:sz w:val="18"/>
        <w:szCs w:val="18"/>
      </w:rPr>
    </w:pPr>
    <w:r>
      <w:rPr>
        <w:rFonts w:eastAsia="DaxCondensed-Regular" w:cs="DaxCondensed-Regular" w:ascii="DaxCondensed-Regular" w:hAnsi="DaxCondensed-Regular"/>
        <w:color w:val="1C3942"/>
        <w:sz w:val="18"/>
        <w:szCs w:val="18"/>
      </w:rPr>
      <w:t xml:space="preserve">SEPS 705/905, Bloco “A”, Salas 401 a 406, Centro Empresarial Santa Cruz - CEP 70.390-055 - Brasília (DF) </w:t>
    </w:r>
  </w:p>
  <w:p>
    <w:pPr>
      <w:pStyle w:val="Normal1"/>
      <w:ind w:left="-1701" w:right="-7" w:firstLine="1701"/>
      <w:jc w:val="center"/>
      <w:rPr>
        <w:rFonts w:ascii="DaxCondensed-Regular" w:hAnsi="DaxCondensed-Regular" w:eastAsia="DaxCondensed-Regular" w:cs="DaxCondensed-Regular"/>
        <w:color w:val="1C3942"/>
        <w:sz w:val="18"/>
        <w:szCs w:val="18"/>
      </w:rPr>
    </w:pPr>
    <w:r>
      <w:rPr>
        <w:rFonts w:eastAsia="DaxCondensed-Regular" w:cs="DaxCondensed-Regular" w:ascii="DaxCondensed-Regular" w:hAnsi="DaxCondensed-Regular"/>
        <w:color w:val="1C3942"/>
        <w:sz w:val="18"/>
        <w:szCs w:val="18"/>
      </w:rPr>
      <w:t>(61) 3222-5176/3222-5179 | www.caudf.gov.br | atendimento@caudf.gov.br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1701" w:right="-85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851"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left="0" w:right="-851" w:hanging="0"/>
      <w:jc w:val="left"/>
      <w:rPr>
        <w:rFonts w:ascii="Arial" w:hAnsi="Arial" w:eastAsia="Arial" w:cs="Arial"/>
        <w:b w:val="false"/>
        <w:b w:val="false"/>
        <w:i w:val="false"/>
        <w:i w:val="false"/>
        <w:caps w:val="false"/>
        <w:smallCaps w:val="false"/>
        <w:strike w:val="false"/>
        <w:dstrike w:val="false"/>
        <w:color w:val="1C3942"/>
        <w:position w:val="0"/>
        <w:sz w:val="24"/>
        <w:sz w:val="22"/>
        <w:szCs w:val="22"/>
        <w:u w:val="none"/>
        <w:vertAlign w:val="baseline"/>
      </w:rPr>
    </w:pPr>
    <w:r>
      <w:rPr/>
      <w:object>
        <v:shape id="ole_rId1" style="width:453.3pt;height:42.55pt" o:ole="">
          <v:imagedata r:id="rId2" o:title=""/>
        </v:shape>
        <o:OLEObject Type="Embed" ProgID="CorelDraw.Graphic.16" ShapeID="ole_rId1" DrawAspect="Content" ObjectID="_1353010739" r:id="rId1"/>
      </w:object>
    </w:r>
  </w:p>
</w:hdr>
</file>

<file path=word/settings.xml><?xml version="1.0" encoding="utf-8"?>
<w:settings xmlns:w="http://schemas.openxmlformats.org/wordprocessingml/2006/main">
  <w:zoom w:percent="11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szCs w:val="24"/>
        <w:lang w:val="pt-BR" w:eastAsia="zh-CN" w:bidi="hi-IN"/>
      </w:rPr>
    </w:rPrDefault>
    <w:pPrDefault>
      <w:pPr/>
    </w:pPrDefault>
  </w:docDefaults>
  <w:style w:type="paragraph" w:styleId="Normal" w:default="1">
    <w:name w:val="Normal"/>
    <w:qFormat/>
    <w:rsid w:val="00727adf"/>
    <w:pPr>
      <w:widowControl/>
      <w:bidi w:val="0"/>
      <w:jc w:val="both"/>
    </w:pPr>
    <w:rPr>
      <w:rFonts w:ascii="Calibri" w:hAnsi="Calibri" w:eastAsia="NSimSun" w:cs="Lucida Sans"/>
      <w:color w:val="auto"/>
      <w:kern w:val="0"/>
      <w:sz w:val="24"/>
      <w:szCs w:val="24"/>
      <w:lang w:eastAsia="en-US" w:val="pt-BR" w:bidi="hi-IN"/>
    </w:rPr>
  </w:style>
  <w:style w:type="paragraph" w:styleId="Ttulo1">
    <w:name w:val="Heading 1"/>
    <w:basedOn w:val="Normal1"/>
    <w:next w:val="Normal1"/>
    <w:link w:val="Ttulo1Char"/>
    <w:uiPriority w:val="9"/>
    <w:qFormat/>
    <w:rsid w:val="00155cc3"/>
    <w:pPr>
      <w:keepNext w:val="true"/>
      <w:keepLines/>
      <w:spacing w:before="240" w:after="0"/>
      <w:outlineLvl w:val="0"/>
    </w:pPr>
    <w:rPr>
      <w:rFonts w:ascii="Calibri Light" w:hAnsi="Calibri Light" w:eastAsia="Times New Roman"/>
      <w:color w:val="2E74B5"/>
      <w:sz w:val="32"/>
      <w:szCs w:val="32"/>
    </w:rPr>
  </w:style>
  <w:style w:type="paragraph" w:styleId="Ttulo2">
    <w:name w:val="Heading 2"/>
    <w:basedOn w:val="Normal1"/>
    <w:next w:val="Normal1"/>
    <w:link w:val="Ttulo2Char"/>
    <w:qFormat/>
    <w:rsid w:val="00727adf"/>
    <w:pPr>
      <w:keepNext w:val="true"/>
      <w:outlineLvl w:val="1"/>
    </w:pPr>
    <w:rPr>
      <w:rFonts w:eastAsia="Times New Roman"/>
      <w:b/>
      <w:szCs w:val="20"/>
      <w:lang w:eastAsia="pt-BR"/>
    </w:rPr>
  </w:style>
  <w:style w:type="paragraph" w:styleId="Ttulo3">
    <w:name w:val="Heading 3"/>
    <w:basedOn w:val="Normal1"/>
    <w:next w:val="Normal1"/>
    <w:link w:val="Ttulo3Char"/>
    <w:uiPriority w:val="9"/>
    <w:semiHidden/>
    <w:unhideWhenUsed/>
    <w:qFormat/>
    <w:rsid w:val="00155cc3"/>
    <w:pPr>
      <w:keepNext w:val="true"/>
      <w:keepLines/>
      <w:spacing w:before="40" w:after="0"/>
      <w:outlineLvl w:val="2"/>
    </w:pPr>
    <w:rPr>
      <w:rFonts w:ascii="Calibri Light" w:hAnsi="Calibri Light" w:eastAsia="Times New Roman"/>
      <w:color w:val="1F4D78"/>
    </w:rPr>
  </w:style>
  <w:style w:type="paragraph" w:styleId="Ttulo4">
    <w:name w:val="Heading 4"/>
    <w:basedOn w:val="Normal1"/>
    <w:next w:val="Normal1"/>
    <w:link w:val="Ttulo4Char"/>
    <w:uiPriority w:val="9"/>
    <w:unhideWhenUsed/>
    <w:qFormat/>
    <w:rsid w:val="00d714e1"/>
    <w:pPr>
      <w:keepNext w:val="true"/>
      <w:jc w:val="center"/>
      <w:outlineLvl w:val="3"/>
    </w:pPr>
    <w:rPr>
      <w:b/>
    </w:rPr>
  </w:style>
  <w:style w:type="paragraph" w:styleId="Ttulo5">
    <w:name w:val="Heading 5"/>
    <w:basedOn w:val="Normal1"/>
    <w:next w:val="Normal1"/>
    <w:qFormat/>
    <w:pPr>
      <w:keepNext w:val="true"/>
      <w:keepLines/>
      <w:spacing w:lineRule="auto" w:line="240" w:before="220" w:after="40"/>
    </w:pPr>
    <w:rPr>
      <w:b/>
      <w:sz w:val="22"/>
      <w:szCs w:val="22"/>
    </w:rPr>
  </w:style>
  <w:style w:type="paragraph" w:styleId="Ttulo6">
    <w:name w:val="Heading 6"/>
    <w:basedOn w:val="Normal1"/>
    <w:next w:val="Normal1"/>
    <w:qFormat/>
    <w:pPr>
      <w:keepNext w:val="true"/>
      <w:keepLines/>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Ttulo2Char" w:customStyle="1">
    <w:name w:val="Título 2 Char"/>
    <w:link w:val="Ttulo2"/>
    <w:qFormat/>
    <w:rsid w:val="00727adf"/>
    <w:rPr>
      <w:rFonts w:ascii="Times New Roman" w:hAnsi="Times New Roman" w:eastAsia="Times New Roman" w:cs="Times New Roman"/>
      <w:b/>
      <w:sz w:val="24"/>
      <w:szCs w:val="20"/>
      <w:lang w:eastAsia="pt-BR"/>
    </w:rPr>
  </w:style>
  <w:style w:type="character" w:styleId="CabealhoChar" w:customStyle="1">
    <w:name w:val="Cabeçalho Char"/>
    <w:link w:val="Cabealho"/>
    <w:qFormat/>
    <w:rsid w:val="00727adf"/>
    <w:rPr>
      <w:rFonts w:ascii="Cambria" w:hAnsi="Cambria" w:eastAsia="MS Mincho" w:cs="Times New Roman"/>
      <w:sz w:val="24"/>
      <w:szCs w:val="24"/>
    </w:rPr>
  </w:style>
  <w:style w:type="character" w:styleId="RodapChar" w:customStyle="1">
    <w:name w:val="Rodapé Char"/>
    <w:link w:val="Rodap"/>
    <w:uiPriority w:val="99"/>
    <w:qFormat/>
    <w:rsid w:val="00727adf"/>
    <w:rPr>
      <w:rFonts w:ascii="Cambria" w:hAnsi="Cambria" w:eastAsia="MS Mincho" w:cs="Times New Roman"/>
      <w:sz w:val="24"/>
      <w:szCs w:val="24"/>
    </w:rPr>
  </w:style>
  <w:style w:type="character" w:styleId="RecuodecorpodetextoChar" w:customStyle="1">
    <w:name w:val="Recuo de corpo de texto Char"/>
    <w:link w:val="Recuodecorpodetexto"/>
    <w:qFormat/>
    <w:rsid w:val="00727adf"/>
    <w:rPr>
      <w:rFonts w:ascii="Times New Roman" w:hAnsi="Times New Roman" w:eastAsia="Times New Roman" w:cs="Times New Roman"/>
      <w:sz w:val="24"/>
      <w:szCs w:val="20"/>
      <w:lang w:eastAsia="pt-BR"/>
    </w:rPr>
  </w:style>
  <w:style w:type="character" w:styleId="CorpodetextoChar" w:customStyle="1">
    <w:name w:val="Corpo de texto Char"/>
    <w:link w:val="Corpodetexto"/>
    <w:qFormat/>
    <w:rsid w:val="00727adf"/>
    <w:rPr>
      <w:rFonts w:ascii="Times New Roman" w:hAnsi="Times New Roman" w:eastAsia="Times New Roman" w:cs="Times New Roman"/>
      <w:sz w:val="24"/>
      <w:szCs w:val="20"/>
      <w:lang w:eastAsia="pt-BR"/>
    </w:rPr>
  </w:style>
  <w:style w:type="character" w:styleId="Corpodetexto2Char" w:customStyle="1">
    <w:name w:val="Corpo de texto 2 Char"/>
    <w:link w:val="Corpodetexto2"/>
    <w:uiPriority w:val="99"/>
    <w:qFormat/>
    <w:rsid w:val="00b00899"/>
    <w:rPr>
      <w:rFonts w:ascii="Times New Roman" w:hAnsi="Times New Roman" w:eastAsia="MS Mincho" w:cs="Times New Roman"/>
      <w:sz w:val="28"/>
      <w:szCs w:val="28"/>
    </w:rPr>
  </w:style>
  <w:style w:type="character" w:styleId="Ttulo1Char" w:customStyle="1">
    <w:name w:val="Título 1 Char"/>
    <w:link w:val="Ttulo1"/>
    <w:uiPriority w:val="9"/>
    <w:qFormat/>
    <w:rsid w:val="00155cc3"/>
    <w:rPr>
      <w:rFonts w:ascii="Calibri Light" w:hAnsi="Calibri Light" w:eastAsia="Times New Roman" w:cs="Times New Roman"/>
      <w:color w:val="2E74B5"/>
      <w:sz w:val="32"/>
      <w:szCs w:val="32"/>
    </w:rPr>
  </w:style>
  <w:style w:type="character" w:styleId="Ttulo3Char" w:customStyle="1">
    <w:name w:val="Título 3 Char"/>
    <w:link w:val="Ttulo3"/>
    <w:uiPriority w:val="9"/>
    <w:semiHidden/>
    <w:qFormat/>
    <w:rsid w:val="00155cc3"/>
    <w:rPr>
      <w:rFonts w:ascii="Calibri Light" w:hAnsi="Calibri Light" w:eastAsia="Times New Roman" w:cs="Times New Roman"/>
      <w:color w:val="1F4D78"/>
      <w:sz w:val="24"/>
      <w:szCs w:val="24"/>
    </w:rPr>
  </w:style>
  <w:style w:type="character" w:styleId="Ttulo4Char" w:customStyle="1">
    <w:name w:val="Título 4 Char"/>
    <w:link w:val="Ttulo4"/>
    <w:uiPriority w:val="9"/>
    <w:qFormat/>
    <w:rsid w:val="00d714e1"/>
    <w:rPr>
      <w:rFonts w:ascii="Times New Roman" w:hAnsi="Times New Roman" w:eastAsia="MS Mincho" w:cs="Times New Roman"/>
      <w:b/>
      <w:sz w:val="24"/>
      <w:szCs w:val="24"/>
    </w:rPr>
  </w:style>
  <w:style w:type="character" w:styleId="TextodebaloChar" w:customStyle="1">
    <w:name w:val="Texto de balão Char"/>
    <w:link w:val="Textodebalo"/>
    <w:uiPriority w:val="99"/>
    <w:semiHidden/>
    <w:qFormat/>
    <w:rsid w:val="00b13e1b"/>
    <w:rPr>
      <w:rFonts w:ascii="Tahoma" w:hAnsi="Tahoma" w:cs="Tahoma"/>
      <w:sz w:val="16"/>
      <w:szCs w:val="16"/>
    </w:rPr>
  </w:style>
  <w:style w:type="character" w:styleId="Recuodecorpodetexto2Char" w:customStyle="1">
    <w:name w:val="Recuo de corpo de texto 2 Char"/>
    <w:link w:val="Recuodecorpodetexto2"/>
    <w:uiPriority w:val="99"/>
    <w:qFormat/>
    <w:rsid w:val="00fd05a6"/>
    <w:rPr>
      <w:rFonts w:ascii="Calibri" w:hAnsi="Calibri"/>
      <w:sz w:val="24"/>
      <w:szCs w:val="24"/>
      <w:lang w:eastAsia="en-US"/>
    </w:rPr>
  </w:style>
  <w:style w:type="character" w:styleId="Appleconvertedspace" w:customStyle="1">
    <w:name w:val="apple-converted-space"/>
    <w:qFormat/>
    <w:rsid w:val="00407584"/>
    <w:rPr/>
  </w:style>
  <w:style w:type="character" w:styleId="LinkdaInternet">
    <w:name w:val="Link da Internet"/>
    <w:uiPriority w:val="99"/>
    <w:unhideWhenUsed/>
    <w:rsid w:val="00407584"/>
    <w:rPr>
      <w:color w:val="0000FF"/>
      <w:u w:val="single"/>
    </w:rPr>
  </w:style>
  <w:style w:type="character" w:styleId="Corpodetexto3Char" w:customStyle="1">
    <w:name w:val="Corpo de texto 3 Char"/>
    <w:link w:val="Corpodetexto3"/>
    <w:uiPriority w:val="99"/>
    <w:qFormat/>
    <w:rsid w:val="005542f6"/>
    <w:rPr>
      <w:rFonts w:ascii="Calibri" w:hAnsi="Calibri" w:cs="Arial"/>
      <w:color w:val="1F1A17"/>
      <w:sz w:val="24"/>
      <w:szCs w:val="24"/>
    </w:rPr>
  </w:style>
  <w:style w:type="character" w:styleId="Parag2Char" w:customStyle="1">
    <w:name w:val="parag2 Char"/>
    <w:link w:val="parag2"/>
    <w:qFormat/>
    <w:rsid w:val="00a22ca8"/>
    <w:rPr>
      <w:rFonts w:eastAsia="Times New Roman"/>
      <w:sz w:val="24"/>
      <w:szCs w:val="24"/>
    </w:rPr>
  </w:style>
  <w:style w:type="character" w:styleId="TtuloChar" w:customStyle="1">
    <w:name w:val="Título Char"/>
    <w:link w:val="Ttulo"/>
    <w:uiPriority w:val="10"/>
    <w:qFormat/>
    <w:rsid w:val="00ab01db"/>
    <w:rPr>
      <w:rFonts w:eastAsia="Times New Roman"/>
      <w:b/>
      <w:sz w:val="24"/>
      <w:szCs w:val="24"/>
      <w:lang w:eastAsia="en-US"/>
    </w:rPr>
  </w:style>
  <w:style w:type="character" w:styleId="CabealhodamensagemChar" w:customStyle="1">
    <w:name w:val="Cabeçalho da mensagem Char"/>
    <w:link w:val="Cabealhodamensagem"/>
    <w:uiPriority w:val="99"/>
    <w:semiHidden/>
    <w:qFormat/>
    <w:rsid w:val="009c0f42"/>
    <w:rPr>
      <w:rFonts w:ascii="Calibri Light" w:hAnsi="Calibri Light" w:eastAsia="Times New Roman" w:cs="Times New Roman"/>
      <w:sz w:val="24"/>
      <w:szCs w:val="24"/>
      <w:shd w:fill="CCCCCC" w:val="clear"/>
      <w:lang w:eastAsia="en-US"/>
    </w:rPr>
  </w:style>
  <w:style w:type="character" w:styleId="Strong">
    <w:name w:val="Strong"/>
    <w:basedOn w:val="DefaultParagraphFont"/>
    <w:uiPriority w:val="22"/>
    <w:qFormat/>
    <w:rsid w:val="001412f5"/>
    <w:rPr>
      <w:b/>
      <w:bCs/>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1"/>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LO-normal"/>
    <w:qFormat/>
    <w:pPr>
      <w:widowControl/>
      <w:bidi w:val="0"/>
      <w:jc w:val="both"/>
    </w:pPr>
    <w:rPr>
      <w:rFonts w:ascii="Calibri" w:hAnsi="Calibri" w:eastAsia="NSimSun" w:cs="Lucida Sans"/>
      <w:color w:val="auto"/>
      <w:kern w:val="0"/>
      <w:sz w:val="24"/>
      <w:szCs w:val="24"/>
      <w:lang w:val="pt-BR" w:eastAsia="zh-CN" w:bidi="hi-IN"/>
    </w:rPr>
  </w:style>
  <w:style w:type="paragraph" w:styleId="Ttulododocumento">
    <w:name w:val="Title"/>
    <w:basedOn w:val="Normal1"/>
    <w:next w:val="Normal1"/>
    <w:link w:val="TtuloChar"/>
    <w:uiPriority w:val="10"/>
    <w:qFormat/>
    <w:rsid w:val="00ab01db"/>
    <w:pPr>
      <w:jc w:val="center"/>
    </w:pPr>
    <w:rPr>
      <w:rFonts w:eastAsia="Times New Roman"/>
      <w:b/>
    </w:rPr>
  </w:style>
  <w:style w:type="paragraph" w:styleId="CabealhoeRodap">
    <w:name w:val="Cabeçalho e Rodapé"/>
    <w:basedOn w:val="Normal"/>
    <w:qFormat/>
    <w:pPr/>
    <w:rPr/>
  </w:style>
  <w:style w:type="paragraph" w:styleId="Cabealho">
    <w:name w:val="Header"/>
    <w:basedOn w:val="Normal1"/>
    <w:link w:val="CabealhoChar"/>
    <w:unhideWhenUsed/>
    <w:rsid w:val="00727adf"/>
    <w:pPr>
      <w:tabs>
        <w:tab w:val="clear" w:pos="720"/>
        <w:tab w:val="center" w:pos="4320" w:leader="none"/>
        <w:tab w:val="right" w:pos="8640" w:leader="none"/>
      </w:tabs>
    </w:pPr>
    <w:rPr/>
  </w:style>
  <w:style w:type="paragraph" w:styleId="Rodap">
    <w:name w:val="Footer"/>
    <w:basedOn w:val="Normal1"/>
    <w:link w:val="RodapChar"/>
    <w:uiPriority w:val="99"/>
    <w:unhideWhenUsed/>
    <w:rsid w:val="00727adf"/>
    <w:pPr>
      <w:tabs>
        <w:tab w:val="clear" w:pos="720"/>
        <w:tab w:val="center" w:pos="4320" w:leader="none"/>
        <w:tab w:val="right" w:pos="8640" w:leader="none"/>
      </w:tabs>
    </w:pPr>
    <w:rPr/>
  </w:style>
  <w:style w:type="paragraph" w:styleId="ListParagraph">
    <w:name w:val="List Paragraph"/>
    <w:basedOn w:val="Normal1"/>
    <w:uiPriority w:val="34"/>
    <w:qFormat/>
    <w:rsid w:val="00727adf"/>
    <w:pPr>
      <w:spacing w:before="0" w:after="0"/>
      <w:ind w:left="720" w:hanging="0"/>
      <w:contextualSpacing/>
    </w:pPr>
    <w:rPr/>
  </w:style>
  <w:style w:type="paragraph" w:styleId="Corpodotextorecuado">
    <w:name w:val="Body Text Indent"/>
    <w:basedOn w:val="Normal1"/>
    <w:link w:val="RecuodecorpodetextoChar"/>
    <w:rsid w:val="00727adf"/>
    <w:pPr>
      <w:ind w:left="720" w:hanging="0"/>
    </w:pPr>
    <w:rPr>
      <w:rFonts w:eastAsia="Times New Roman"/>
      <w:szCs w:val="20"/>
      <w:lang w:eastAsia="pt-BR"/>
    </w:rPr>
  </w:style>
  <w:style w:type="paragraph" w:styleId="BodyText2">
    <w:name w:val="Body Text 2"/>
    <w:basedOn w:val="Normal1"/>
    <w:link w:val="Corpodetexto2Char"/>
    <w:uiPriority w:val="99"/>
    <w:unhideWhenUsed/>
    <w:qFormat/>
    <w:rsid w:val="00b00899"/>
    <w:pPr/>
    <w:rPr>
      <w:sz w:val="28"/>
      <w:szCs w:val="28"/>
    </w:rPr>
  </w:style>
  <w:style w:type="paragraph" w:styleId="BalloonText">
    <w:name w:val="Balloon Text"/>
    <w:basedOn w:val="Normal1"/>
    <w:link w:val="TextodebaloChar"/>
    <w:uiPriority w:val="99"/>
    <w:semiHidden/>
    <w:unhideWhenUsed/>
    <w:qFormat/>
    <w:rsid w:val="00b13e1b"/>
    <w:pPr/>
    <w:rPr>
      <w:rFonts w:ascii="Tahoma" w:hAnsi="Tahoma" w:cs="Tahoma"/>
      <w:sz w:val="16"/>
      <w:szCs w:val="16"/>
    </w:rPr>
  </w:style>
  <w:style w:type="paragraph" w:styleId="BodyTextIndent2">
    <w:name w:val="Body Text Indent 2"/>
    <w:basedOn w:val="Normal1"/>
    <w:link w:val="Recuodecorpodetexto2Char"/>
    <w:uiPriority w:val="99"/>
    <w:unhideWhenUsed/>
    <w:qFormat/>
    <w:rsid w:val="00fd05a6"/>
    <w:pPr>
      <w:ind w:left="3686" w:hanging="0"/>
    </w:pPr>
    <w:rPr>
      <w:rFonts w:ascii="Calibri" w:hAnsi="Calibri"/>
    </w:rPr>
  </w:style>
  <w:style w:type="paragraph" w:styleId="NormalWeb">
    <w:name w:val="Normal (Web)"/>
    <w:basedOn w:val="Normal1"/>
    <w:uiPriority w:val="99"/>
    <w:unhideWhenUsed/>
    <w:qFormat/>
    <w:rsid w:val="00407584"/>
    <w:pPr>
      <w:spacing w:beforeAutospacing="1" w:afterAutospacing="1"/>
      <w:jc w:val="left"/>
    </w:pPr>
    <w:rPr>
      <w:rFonts w:eastAsia="Times New Roman"/>
      <w:lang w:eastAsia="pt-BR"/>
    </w:rPr>
  </w:style>
  <w:style w:type="paragraph" w:styleId="BodyText3">
    <w:name w:val="Body Text 3"/>
    <w:basedOn w:val="Normal1"/>
    <w:link w:val="Corpodetexto3Char"/>
    <w:uiPriority w:val="99"/>
    <w:unhideWhenUsed/>
    <w:qFormat/>
    <w:rsid w:val="005542f6"/>
    <w:pPr/>
    <w:rPr>
      <w:rFonts w:ascii="Calibri" w:hAnsi="Calibri" w:cs="Arial"/>
      <w:color w:val="1F1A17"/>
      <w:lang w:eastAsia="pt-BR"/>
    </w:rPr>
  </w:style>
  <w:style w:type="paragraph" w:styleId="Parag2" w:customStyle="1">
    <w:name w:val="parag2"/>
    <w:basedOn w:val="Normal1"/>
    <w:link w:val="parag2Char"/>
    <w:qFormat/>
    <w:rsid w:val="00a22ca8"/>
    <w:pPr>
      <w:spacing w:beforeAutospacing="1" w:afterAutospacing="1"/>
      <w:jc w:val="left"/>
    </w:pPr>
    <w:rPr>
      <w:rFonts w:eastAsia="Times New Roman"/>
      <w:lang w:eastAsia="pt-BR"/>
    </w:rPr>
  </w:style>
  <w:style w:type="paragraph" w:styleId="Cabedamensagemantes" w:customStyle="1">
    <w:name w:val="Cabeç. da mensagem antes"/>
    <w:basedOn w:val="MessageHeader"/>
    <w:next w:val="MessageHeader"/>
    <w:qFormat/>
    <w:rsid w:val="009c0f42"/>
    <w:pPr>
      <w:keepLines/>
      <w:pBdr>
        <w:top w:val="nil"/>
        <w:left w:val="nil"/>
        <w:bottom w:val="nil"/>
        <w:right w:val="nil"/>
      </w:pBdr>
      <w:shd w:val="clear" w:color="auto" w:fill="auto"/>
      <w:tabs>
        <w:tab w:val="clear" w:pos="720"/>
        <w:tab w:val="left" w:pos="1560" w:leader="none"/>
      </w:tabs>
      <w:spacing w:lineRule="atLeast" w:line="415"/>
      <w:ind w:left="1560" w:right="-360" w:hanging="720"/>
      <w:jc w:val="left"/>
    </w:pPr>
    <w:rPr>
      <w:rFonts w:ascii="Times New Roman" w:hAnsi="Times New Roman"/>
      <w:sz w:val="20"/>
      <w:szCs w:val="20"/>
      <w:lang w:eastAsia="pt-BR"/>
    </w:rPr>
  </w:style>
  <w:style w:type="paragraph" w:styleId="MessageHeader">
    <w:name w:val="Message Header"/>
    <w:basedOn w:val="Normal1"/>
    <w:link w:val="CabealhodamensagemChar"/>
    <w:uiPriority w:val="99"/>
    <w:semiHidden/>
    <w:unhideWhenUsed/>
    <w:qFormat/>
    <w:rsid w:val="009c0f42"/>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Calibri Light" w:hAnsi="Calibri Light" w:eastAsia="Times New Roman"/>
    </w:rPr>
  </w:style>
  <w:style w:type="paragraph" w:styleId="PargrafodaLista1" w:customStyle="1">
    <w:name w:val="Parágrafo da Lista1"/>
    <w:basedOn w:val="Normal1"/>
    <w:qFormat/>
    <w:rsid w:val="00190bf9"/>
    <w:pPr>
      <w:suppressAutoHyphens w:val="true"/>
      <w:spacing w:before="0" w:after="0"/>
      <w:ind w:left="720" w:hanging="0"/>
      <w:contextualSpacing/>
    </w:pPr>
    <w:rPr/>
  </w:style>
  <w:style w:type="paragraph" w:styleId="Estilo" w:customStyle="1">
    <w:name w:val="Estilo"/>
    <w:qFormat/>
    <w:rsid w:val="00f115f7"/>
    <w:pPr>
      <w:widowControl w:val="false"/>
      <w:suppressAutoHyphens w:val="true"/>
      <w:bidi w:val="0"/>
      <w:jc w:val="both"/>
    </w:pPr>
    <w:rPr>
      <w:rFonts w:ascii="Arial" w:hAnsi="Arial" w:eastAsia="Times New Roman" w:cs="Arial"/>
      <w:color w:val="auto"/>
      <w:kern w:val="0"/>
      <w:sz w:val="24"/>
      <w:szCs w:val="24"/>
      <w:lang w:eastAsia="zh-CN" w:val="pt-BR" w:bidi="hi-IN"/>
    </w:rPr>
  </w:style>
  <w:style w:type="paragraph" w:styleId="Subttulo">
    <w:name w:val="Subtitle"/>
    <w:basedOn w:val="Normal1"/>
    <w:next w:val="Normal1"/>
    <w:qFormat/>
    <w:pPr>
      <w:keepNext w:val="true"/>
      <w:keepLines/>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leNormal">
    <w:name w:val="Table Normal"/>
  </w:style>
  <w:style w:type="table" w:default="1" w:styleId="TableNormal">
    <w:name w:val="Table Normal"/>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6c465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KuQ1pa+Iwxj2wMwopQsQe5EPTsA==">AMUW2mUQVbE9qiXJv1AglXRIW2Z1phrTF5q93pvRGr3MGOeZcA6IjFM9sokrdvEtU2q2lr/Zh+WT6iVVtqL+0QoCw6NjsjIXryxs9iUXLcXe1yLdSTMN58k=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TotalTime>
  <Application>LibreOffice/6.3.3.2$Windows_X86_64 LibreOffice_project/a64200df03143b798afd1ec74a12ab50359878ed</Application>
  <Pages>2</Pages>
  <Words>386</Words>
  <Characters>2277</Characters>
  <CharactersWithSpaces>2652</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2019-12-17T14:07:00Z</dcterms:created>
  <dc:creator>Anderson Viana</dc:creator>
  <dc:description/>
  <dc:language>pt-BR</dc:language>
  <cp:lastModifiedBy/>
  <dcterms:modified xsi:type="dcterms:W3CDTF">2020-07-31T12:02:40Z</dcterms:modified>
  <cp:revision>1</cp:revision>
  <dc:subject/>
  <dc:title/>
</cp:coreProperties>
</file>