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98" w:rsidRDefault="00F87B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F87B98" w:rsidRDefault="00F87B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9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813"/>
      </w:tblGrid>
      <w:tr w:rsidR="00F87B98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87B98" w:rsidRDefault="00C42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7B98" w:rsidRDefault="00F87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ind w:right="113"/>
              <w:rPr>
                <w:color w:val="000000"/>
                <w:sz w:val="22"/>
                <w:szCs w:val="22"/>
              </w:rPr>
            </w:pPr>
          </w:p>
        </w:tc>
      </w:tr>
      <w:tr w:rsidR="00F87B98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87B98" w:rsidRDefault="00C42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rPr>
                <w:b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B98" w:rsidRDefault="00C42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CAU/DF</w:t>
            </w:r>
          </w:p>
        </w:tc>
      </w:tr>
      <w:tr w:rsidR="00F87B98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87B98" w:rsidRDefault="00C42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APROVAÇÃO DE UTILIZAÇÃO DE </w:t>
            </w:r>
            <w:r>
              <w:rPr>
                <w:i/>
                <w:sz w:val="22"/>
                <w:szCs w:val="22"/>
              </w:rPr>
              <w:t xml:space="preserve">SUPERÁVIT </w:t>
            </w:r>
            <w:r>
              <w:rPr>
                <w:sz w:val="22"/>
                <w:szCs w:val="22"/>
              </w:rPr>
              <w:t>FINANCEIRO PARA A NOVA SEDE DO CAU/DF E PROJETO ESPECÍFICO “BRASÍLIA 60 ANOS”.</w:t>
            </w:r>
          </w:p>
        </w:tc>
      </w:tr>
    </w:tbl>
    <w:p w:rsidR="00F87B98" w:rsidRDefault="00F87B9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right="113"/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3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F87B98">
        <w:tc>
          <w:tcPr>
            <w:tcW w:w="9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F87B98" w:rsidRDefault="00C42B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ind w:right="113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DELIBERAÇÃO Nº 0</w:t>
            </w:r>
            <w:r>
              <w:rPr>
                <w:b/>
                <w:sz w:val="22"/>
                <w:szCs w:val="22"/>
              </w:rPr>
              <w:t>13</w:t>
            </w:r>
            <w:r>
              <w:rPr>
                <w:b/>
                <w:color w:val="000000"/>
                <w:sz w:val="22"/>
                <w:szCs w:val="22"/>
              </w:rPr>
              <w:t>/2020 – CAF-CAU/DF</w:t>
            </w:r>
          </w:p>
        </w:tc>
      </w:tr>
    </w:tbl>
    <w:p w:rsidR="00F87B98" w:rsidRDefault="00C42BC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  <w:tab w:val="right" w:pos="8647"/>
        </w:tabs>
        <w:ind w:right="11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F87B98" w:rsidRDefault="00C42BC3">
      <w:pPr>
        <w:ind w:right="113"/>
        <w:rPr>
          <w:sz w:val="22"/>
          <w:szCs w:val="22"/>
        </w:rPr>
      </w:pPr>
      <w:r>
        <w:rPr>
          <w:sz w:val="22"/>
          <w:szCs w:val="22"/>
        </w:rPr>
        <w:t>A COMISSÃO DE ADMINISTRAÇÃO, PLANEJAMENTO E FINANÇAS do Conselho de Arquitetura e Urbanismo do Distrito Federal – CAF-CAU/DF reunida ordinariamente na sede do CAU/DF, no dia 10 de fevereiro de 2020, após análise do assunto em epígrafe, e</w:t>
      </w:r>
    </w:p>
    <w:p w:rsidR="00F87B98" w:rsidRDefault="00F87B98">
      <w:pPr>
        <w:ind w:right="113"/>
        <w:rPr>
          <w:sz w:val="22"/>
          <w:szCs w:val="22"/>
        </w:rPr>
      </w:pPr>
    </w:p>
    <w:p w:rsidR="00F87B98" w:rsidRDefault="00C42BC3">
      <w:pPr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Considerando Regimento Interno do CAU/DF, artigo 88, inciso </w:t>
      </w:r>
      <w:r>
        <w:rPr>
          <w:color w:val="000000"/>
          <w:sz w:val="22"/>
          <w:szCs w:val="22"/>
        </w:rPr>
        <w:t>XVII</w:t>
      </w:r>
      <w:r>
        <w:rPr>
          <w:sz w:val="22"/>
          <w:szCs w:val="22"/>
        </w:rPr>
        <w:t>, que dispõe como competência da Comissão de Finanças, Atos Administrativos e Gestão: “</w:t>
      </w:r>
      <w:r>
        <w:rPr>
          <w:i/>
          <w:color w:val="000000"/>
          <w:sz w:val="22"/>
          <w:szCs w:val="22"/>
        </w:rPr>
        <w:t>propor, apreciar e deliberar sobre os planos de ação e orçamento do CAU/DF, e suas reformulações</w:t>
      </w:r>
      <w:r>
        <w:rPr>
          <w:color w:val="000000"/>
          <w:sz w:val="22"/>
          <w:szCs w:val="22"/>
        </w:rPr>
        <w:t>”;</w:t>
      </w:r>
    </w:p>
    <w:p w:rsidR="00F87B98" w:rsidRDefault="00F87B98">
      <w:pPr>
        <w:rPr>
          <w:color w:val="000000"/>
          <w:sz w:val="22"/>
          <w:szCs w:val="22"/>
        </w:rPr>
      </w:pPr>
    </w:p>
    <w:p w:rsidR="00F87B98" w:rsidRDefault="00C42BC3">
      <w:pPr>
        <w:rPr>
          <w:sz w:val="22"/>
          <w:szCs w:val="22"/>
        </w:rPr>
      </w:pPr>
      <w:r>
        <w:rPr>
          <w:sz w:val="22"/>
          <w:szCs w:val="22"/>
        </w:rPr>
        <w:t xml:space="preserve">Considerando que a Lei n° 4.320, de 17 de março de 1964, autoriza inclusão, nas propostas orçamentárias anuais, de créditos adicionais, destinados a reforço de dotação orçamentária; </w:t>
      </w:r>
    </w:p>
    <w:p w:rsidR="00F87B98" w:rsidRDefault="00F87B98">
      <w:pPr>
        <w:rPr>
          <w:sz w:val="22"/>
          <w:szCs w:val="22"/>
        </w:rPr>
      </w:pPr>
    </w:p>
    <w:p w:rsidR="00F87B98" w:rsidRDefault="00C42BC3">
      <w:pPr>
        <w:rPr>
          <w:sz w:val="22"/>
          <w:szCs w:val="22"/>
        </w:rPr>
      </w:pPr>
      <w:r>
        <w:rPr>
          <w:sz w:val="22"/>
          <w:szCs w:val="22"/>
        </w:rPr>
        <w:t xml:space="preserve">Considerando que os Conselhos de Arquitetura e Urbanismo dispõem de superávits financeiros verificados em exercícios anteriores; </w:t>
      </w:r>
    </w:p>
    <w:p w:rsidR="00F87B98" w:rsidRDefault="00F87B98">
      <w:pPr>
        <w:rPr>
          <w:sz w:val="22"/>
          <w:szCs w:val="22"/>
        </w:rPr>
      </w:pPr>
    </w:p>
    <w:p w:rsidR="00F87B98" w:rsidRDefault="00C42BC3">
      <w:pPr>
        <w:rPr>
          <w:sz w:val="22"/>
          <w:szCs w:val="22"/>
        </w:rPr>
      </w:pPr>
      <w:r>
        <w:rPr>
          <w:sz w:val="22"/>
          <w:szCs w:val="22"/>
        </w:rPr>
        <w:t>Considerando a conveniência de que os recursos decorrentes de superávits financeiros dos exercícios anteriores dos Conselhos de Arquitetura e Urbanismo sejam utilizados em projetos estratégicos para o atingimento pleno das funções que o art. 24 da Lei n° 12.378 de 2010 confere a esses Conselhos</w:t>
      </w:r>
      <w:r w:rsidR="005A3F60">
        <w:rPr>
          <w:sz w:val="22"/>
          <w:szCs w:val="22"/>
        </w:rPr>
        <w:t>;</w:t>
      </w:r>
      <w:bookmarkStart w:id="0" w:name="_GoBack"/>
      <w:bookmarkEnd w:id="0"/>
    </w:p>
    <w:p w:rsidR="00F87B98" w:rsidRDefault="00F87B98">
      <w:pPr>
        <w:rPr>
          <w:sz w:val="22"/>
          <w:szCs w:val="22"/>
        </w:rPr>
      </w:pPr>
    </w:p>
    <w:p w:rsidR="00F87B98" w:rsidRDefault="00C42B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sz w:val="22"/>
          <w:szCs w:val="22"/>
          <w:highlight w:val="white"/>
        </w:rPr>
      </w:pPr>
      <w:r>
        <w:rPr>
          <w:sz w:val="22"/>
          <w:szCs w:val="22"/>
        </w:rPr>
        <w:t>Considerando</w:t>
      </w:r>
      <w:r>
        <w:rPr>
          <w:sz w:val="22"/>
          <w:szCs w:val="22"/>
          <w:highlight w:val="white"/>
        </w:rPr>
        <w:t xml:space="preserve"> a NOTA TÉCNICA – AUDITORIA INTERNA Nº 009/2020, sobre recursos de </w:t>
      </w:r>
      <w:r>
        <w:rPr>
          <w:i/>
          <w:sz w:val="22"/>
          <w:szCs w:val="22"/>
          <w:highlight w:val="white"/>
        </w:rPr>
        <w:t>superávit</w:t>
      </w:r>
      <w:r>
        <w:rPr>
          <w:sz w:val="22"/>
          <w:szCs w:val="22"/>
          <w:highlight w:val="white"/>
        </w:rPr>
        <w:t xml:space="preserve"> financeiro do exercício anterior aplicados em reforma e ampliação de imóvel como despesa de capital; e</w:t>
      </w:r>
    </w:p>
    <w:p w:rsidR="00F87B98" w:rsidRDefault="00F87B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sz w:val="22"/>
          <w:szCs w:val="22"/>
          <w:highlight w:val="white"/>
        </w:rPr>
      </w:pPr>
    </w:p>
    <w:p w:rsidR="00F87B98" w:rsidRDefault="00C42B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20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Considerando a Deliberação Plenária DPOPBR Nº 0097-08.A/2019, de 19 de dezembro de 2019, que altera o item 2 da DPOBR Nº 0084-03/2018, que passa a vigorar com a seguinte redação: </w:t>
      </w:r>
    </w:p>
    <w:p w:rsidR="00F87B98" w:rsidRDefault="00F87B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/>
        <w:rPr>
          <w:sz w:val="22"/>
          <w:szCs w:val="22"/>
          <w:highlight w:val="white"/>
        </w:rPr>
      </w:pPr>
    </w:p>
    <w:p w:rsidR="00F87B98" w:rsidRDefault="00C42B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2267"/>
        <w:rPr>
          <w:color w:val="000000"/>
          <w:sz w:val="22"/>
          <w:szCs w:val="22"/>
        </w:rPr>
      </w:pPr>
      <w:r>
        <w:rPr>
          <w:sz w:val="22"/>
          <w:szCs w:val="22"/>
          <w:highlight w:val="white"/>
        </w:rPr>
        <w:t xml:space="preserve">                              </w:t>
      </w:r>
      <w:r>
        <w:rPr>
          <w:sz w:val="20"/>
          <w:szCs w:val="20"/>
          <w:highlight w:val="white"/>
        </w:rPr>
        <w:t xml:space="preserve"> </w:t>
      </w:r>
      <w:r>
        <w:rPr>
          <w:i/>
          <w:sz w:val="20"/>
          <w:szCs w:val="20"/>
          <w:highlight w:val="white"/>
        </w:rPr>
        <w:t>2 - Autorizar a utilização de superávit financeiro, apurado no balanço patrimonial do exercício imediatamente anterior, em despesas de capital e em projetos específicos com seus respectivos Planos de Trabalho de caráter não continuado, em ações cuja realização seja suportada por despesas de natureza corrente</w:t>
      </w:r>
      <w:r>
        <w:rPr>
          <w:i/>
          <w:sz w:val="22"/>
          <w:szCs w:val="22"/>
          <w:highlight w:val="white"/>
        </w:rPr>
        <w:t>;</w:t>
      </w:r>
    </w:p>
    <w:p w:rsidR="00F87B98" w:rsidRDefault="00F87B98">
      <w:pPr>
        <w:widowControl w:val="0"/>
        <w:rPr>
          <w:sz w:val="22"/>
          <w:szCs w:val="22"/>
        </w:rPr>
      </w:pPr>
    </w:p>
    <w:p w:rsidR="00B20E8A" w:rsidRDefault="00B20E8A">
      <w:pPr>
        <w:ind w:right="113"/>
        <w:rPr>
          <w:b/>
          <w:sz w:val="22"/>
          <w:szCs w:val="22"/>
        </w:rPr>
      </w:pPr>
    </w:p>
    <w:p w:rsidR="00F87B98" w:rsidRDefault="00C42BC3">
      <w:pPr>
        <w:ind w:right="113"/>
        <w:rPr>
          <w:b/>
          <w:sz w:val="22"/>
          <w:szCs w:val="22"/>
        </w:rPr>
      </w:pPr>
      <w:r>
        <w:rPr>
          <w:b/>
          <w:sz w:val="22"/>
          <w:szCs w:val="22"/>
        </w:rPr>
        <w:t>DELIBERA:</w:t>
      </w:r>
    </w:p>
    <w:p w:rsidR="00F87B98" w:rsidRDefault="00F87B98">
      <w:pPr>
        <w:ind w:right="113"/>
        <w:rPr>
          <w:sz w:val="22"/>
          <w:szCs w:val="22"/>
        </w:rPr>
      </w:pPr>
    </w:p>
    <w:p w:rsidR="00F87B98" w:rsidRDefault="00C42BC3">
      <w:pPr>
        <w:ind w:right="113"/>
        <w:rPr>
          <w:sz w:val="22"/>
          <w:szCs w:val="22"/>
        </w:rPr>
      </w:pPr>
      <w:r>
        <w:rPr>
          <w:sz w:val="22"/>
          <w:szCs w:val="22"/>
        </w:rPr>
        <w:t>1 - Por aprovar a proposta para utilização do superávit financeiro dos exercícios anteriores conforme demonstrado abaixo:</w:t>
      </w:r>
    </w:p>
    <w:p w:rsidR="00F87B98" w:rsidRDefault="00F87B98">
      <w:pPr>
        <w:ind w:right="113"/>
        <w:rPr>
          <w:sz w:val="22"/>
          <w:szCs w:val="22"/>
        </w:rPr>
      </w:pPr>
    </w:p>
    <w:tbl>
      <w:tblPr>
        <w:tblStyle w:val="a1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18"/>
        <w:gridCol w:w="1952"/>
      </w:tblGrid>
      <w:tr w:rsidR="00F87B98">
        <w:trPr>
          <w:trHeight w:val="375"/>
        </w:trPr>
        <w:tc>
          <w:tcPr>
            <w:tcW w:w="9070" w:type="dxa"/>
            <w:gridSpan w:val="2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66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Utilização do Superávit Financeiro - CAU/DF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a. Valor do Superávit Financeiro em 31.12.2019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R$ 1.532.077,43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b. Despesa de Capital - valores dispendidos até 30.04 (Investimentos)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 w:rsidP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 xml:space="preserve">R$ </w:t>
            </w:r>
            <w:r w:rsidR="00B20E8A" w:rsidRPr="00B20E8A">
              <w:rPr>
                <w:sz w:val="22"/>
                <w:szCs w:val="22"/>
              </w:rPr>
              <w:t>36.020,00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c. Projetos Específicos- valores dispendidos até 30.04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R$ -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66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lastRenderedPageBreak/>
              <w:t xml:space="preserve">d. Superávit Financeiro Efetivo (d= </w:t>
            </w:r>
            <w:proofErr w:type="spellStart"/>
            <w:r w:rsidRPr="00B20E8A">
              <w:rPr>
                <w:color w:val="FFFFFF"/>
                <w:sz w:val="22"/>
                <w:szCs w:val="22"/>
              </w:rPr>
              <w:t>a-b-</w:t>
            </w:r>
            <w:proofErr w:type="gramStart"/>
            <w:r w:rsidRPr="00B20E8A">
              <w:rPr>
                <w:color w:val="FFFFFF"/>
                <w:sz w:val="22"/>
                <w:szCs w:val="22"/>
              </w:rPr>
              <w:t>c</w:t>
            </w:r>
            <w:proofErr w:type="spellEnd"/>
            <w:r w:rsidRPr="00B20E8A">
              <w:rPr>
                <w:color w:val="FFFFFF"/>
                <w:sz w:val="22"/>
                <w:szCs w:val="22"/>
              </w:rPr>
              <w:t>)*</w:t>
            </w:r>
            <w:proofErr w:type="gramEnd"/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0066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 w:rsidP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R$ 1.</w:t>
            </w:r>
            <w:r w:rsidR="00B20E8A" w:rsidRPr="00B20E8A">
              <w:rPr>
                <w:color w:val="FFFFFF"/>
                <w:sz w:val="22"/>
                <w:szCs w:val="22"/>
              </w:rPr>
              <w:t>496.057,43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e. Valor máximo de utilização - até 70% dos saldos do superávit financeiro efetivo (e= 70% d)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 w:rsidP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R$ 1.0</w:t>
            </w:r>
            <w:r w:rsidR="00B20E8A" w:rsidRPr="00B20E8A">
              <w:rPr>
                <w:sz w:val="22"/>
                <w:szCs w:val="22"/>
              </w:rPr>
              <w:t>47.240,20</w:t>
            </w:r>
          </w:p>
        </w:tc>
      </w:tr>
      <w:tr w:rsidR="00F87B98">
        <w:trPr>
          <w:trHeight w:val="375"/>
        </w:trPr>
        <w:tc>
          <w:tcPr>
            <w:tcW w:w="9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B20E8A">
              <w:rPr>
                <w:sz w:val="20"/>
                <w:szCs w:val="20"/>
              </w:rPr>
              <w:t>* Conforme Deliberação Plenária DPAEBR nº 004-01/2020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I. Valor de utilização para custear as despesas correntes na Reprogramação 2020**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R$ -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II. Limite % de utilização do superávit financeiro efetivo em despesas Correntes (II= I/d)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0,0%</w:t>
            </w:r>
          </w:p>
        </w:tc>
      </w:tr>
      <w:tr w:rsidR="00F87B98">
        <w:trPr>
          <w:trHeight w:val="375"/>
        </w:trPr>
        <w:tc>
          <w:tcPr>
            <w:tcW w:w="9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B20E8A">
              <w:rPr>
                <w:sz w:val="20"/>
                <w:szCs w:val="20"/>
              </w:rPr>
              <w:t>** Conforme Deliberação Plenária DPAEBR nº 004-01/2020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III. Valor de utilização para custear Projetos específicos na Reprogramação 2020 ***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R$ 30.000,00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IV. Limite % de utilização do superávit financeiro em Projetos Específicos (II=I/a)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2,0%</w:t>
            </w:r>
          </w:p>
        </w:tc>
      </w:tr>
      <w:tr w:rsidR="00F87B98">
        <w:trPr>
          <w:trHeight w:val="375"/>
        </w:trPr>
        <w:tc>
          <w:tcPr>
            <w:tcW w:w="9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00B20E8A">
              <w:rPr>
                <w:sz w:val="20"/>
                <w:szCs w:val="20"/>
              </w:rPr>
              <w:t>*** Conforme as Deliberações Plenárias DPOBR n. 0084-03/2018 e n. 0097-08.A/2019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V. Valor de utilização para custear Despesas de Capit</w:t>
            </w:r>
            <w:r w:rsidR="006B71AA">
              <w:rPr>
                <w:color w:val="FFFFFF"/>
                <w:sz w:val="22"/>
                <w:szCs w:val="22"/>
              </w:rPr>
              <w:t xml:space="preserve">al na Reprogramação 2020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00206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 w:rsidP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 xml:space="preserve">R$ </w:t>
            </w:r>
            <w:r w:rsidR="00B20E8A" w:rsidRPr="00B20E8A">
              <w:rPr>
                <w:color w:val="FFFFFF"/>
                <w:sz w:val="22"/>
                <w:szCs w:val="22"/>
              </w:rPr>
              <w:t>1.010.339,52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VI. % de utilização do superávit financeiro em Despesas de Capital (VI=V/a)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65,9</w:t>
            </w:r>
            <w:r w:rsidR="00C42BC3" w:rsidRPr="00B20E8A">
              <w:rPr>
                <w:sz w:val="22"/>
                <w:szCs w:val="22"/>
              </w:rPr>
              <w:t>%</w:t>
            </w:r>
          </w:p>
        </w:tc>
      </w:tr>
      <w:tr w:rsidR="00F87B98">
        <w:trPr>
          <w:trHeight w:val="375"/>
        </w:trPr>
        <w:tc>
          <w:tcPr>
            <w:tcW w:w="9070" w:type="dxa"/>
            <w:gridSpan w:val="2"/>
            <w:tcBorders>
              <w:top w:val="nil"/>
              <w:left w:val="nil"/>
              <w:bottom w:val="single" w:sz="6" w:space="0" w:color="A5A5A5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0066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>VII. Total de Utilização do Superávit Financeiro na Reprogramação 2020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006666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 w:rsidP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color w:val="FFFFFF"/>
                <w:sz w:val="22"/>
                <w:szCs w:val="22"/>
              </w:rPr>
              <w:t xml:space="preserve">R$ </w:t>
            </w:r>
            <w:r w:rsidR="00B20E8A" w:rsidRPr="00B20E8A">
              <w:rPr>
                <w:color w:val="FFFFFF"/>
                <w:sz w:val="22"/>
                <w:szCs w:val="22"/>
              </w:rPr>
              <w:t>1.040.339,52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C42BC3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VIII- % de utilização total do superávit financeiro (VIII=VII/a)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6" w:space="0" w:color="A5A5A5"/>
              <w:right w:val="single" w:sz="6" w:space="0" w:color="A5A5A5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Pr="00B20E8A" w:rsidRDefault="00B20E8A">
            <w:pPr>
              <w:widowControl w:val="0"/>
              <w:spacing w:line="276" w:lineRule="auto"/>
              <w:jc w:val="right"/>
              <w:rPr>
                <w:sz w:val="22"/>
                <w:szCs w:val="22"/>
              </w:rPr>
            </w:pPr>
            <w:r w:rsidRPr="00B20E8A">
              <w:rPr>
                <w:sz w:val="22"/>
                <w:szCs w:val="22"/>
              </w:rPr>
              <w:t>67,9</w:t>
            </w:r>
            <w:r w:rsidR="00C42BC3" w:rsidRPr="00B20E8A">
              <w:rPr>
                <w:sz w:val="22"/>
                <w:szCs w:val="22"/>
              </w:rPr>
              <w:t>%</w:t>
            </w:r>
          </w:p>
        </w:tc>
      </w:tr>
      <w:tr w:rsidR="00F87B98">
        <w:trPr>
          <w:trHeight w:val="375"/>
        </w:trPr>
        <w:tc>
          <w:tcPr>
            <w:tcW w:w="7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87B98" w:rsidRDefault="00F87B98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</w:p>
        </w:tc>
      </w:tr>
    </w:tbl>
    <w:p w:rsidR="00F87B98" w:rsidRDefault="00F87B98">
      <w:pPr>
        <w:ind w:right="113"/>
        <w:rPr>
          <w:sz w:val="22"/>
          <w:szCs w:val="22"/>
        </w:rPr>
      </w:pPr>
    </w:p>
    <w:p w:rsidR="00F87B98" w:rsidRDefault="00C42BC3">
      <w:pPr>
        <w:ind w:right="113"/>
        <w:rPr>
          <w:sz w:val="22"/>
          <w:szCs w:val="22"/>
        </w:rPr>
      </w:pPr>
      <w:bookmarkStart w:id="1" w:name="_heading=h.gjdgxs" w:colFirst="0" w:colLast="0"/>
      <w:bookmarkEnd w:id="1"/>
      <w:r>
        <w:rPr>
          <w:sz w:val="22"/>
          <w:szCs w:val="22"/>
        </w:rPr>
        <w:t>2 – Por encaminhar a proposta ao Plenário do CAU/DF para apreciação e aprovação.</w:t>
      </w:r>
    </w:p>
    <w:p w:rsidR="00F87B98" w:rsidRDefault="00F87B98">
      <w:pPr>
        <w:ind w:right="113"/>
        <w:rPr>
          <w:b/>
          <w:sz w:val="22"/>
          <w:szCs w:val="22"/>
        </w:rPr>
      </w:pPr>
    </w:p>
    <w:p w:rsidR="00F87B98" w:rsidRDefault="00C42BC3">
      <w:pPr>
        <w:ind w:right="113"/>
        <w:rPr>
          <w:sz w:val="22"/>
          <w:szCs w:val="22"/>
        </w:rPr>
      </w:pPr>
      <w:r>
        <w:rPr>
          <w:sz w:val="22"/>
          <w:szCs w:val="22"/>
        </w:rPr>
        <w:t>Com</w:t>
      </w:r>
      <w:r>
        <w:rPr>
          <w:b/>
          <w:sz w:val="22"/>
          <w:szCs w:val="22"/>
        </w:rPr>
        <w:t xml:space="preserve"> 4</w:t>
      </w:r>
      <w:r>
        <w:rPr>
          <w:sz w:val="22"/>
          <w:szCs w:val="22"/>
        </w:rPr>
        <w:t xml:space="preserve"> votos favoráveis, </w:t>
      </w:r>
      <w:proofErr w:type="gramStart"/>
      <w:r>
        <w:rPr>
          <w:sz w:val="22"/>
          <w:szCs w:val="22"/>
        </w:rPr>
        <w:t>0 voto</w:t>
      </w:r>
      <w:proofErr w:type="gramEnd"/>
      <w:r>
        <w:rPr>
          <w:sz w:val="22"/>
          <w:szCs w:val="22"/>
        </w:rPr>
        <w:t xml:space="preserve"> contrário e 0 abstenção.</w:t>
      </w:r>
    </w:p>
    <w:p w:rsidR="00F87B98" w:rsidRDefault="00F87B98">
      <w:pPr>
        <w:ind w:right="113"/>
        <w:jc w:val="left"/>
        <w:rPr>
          <w:sz w:val="22"/>
          <w:szCs w:val="22"/>
        </w:rPr>
      </w:pPr>
    </w:p>
    <w:p w:rsidR="006B71AA" w:rsidRDefault="006B71AA">
      <w:pPr>
        <w:ind w:right="113"/>
        <w:jc w:val="center"/>
        <w:rPr>
          <w:sz w:val="22"/>
          <w:szCs w:val="22"/>
        </w:rPr>
      </w:pPr>
    </w:p>
    <w:p w:rsidR="006B71AA" w:rsidRDefault="006B71AA">
      <w:pPr>
        <w:ind w:right="113"/>
        <w:jc w:val="center"/>
        <w:rPr>
          <w:sz w:val="22"/>
          <w:szCs w:val="22"/>
        </w:rPr>
      </w:pPr>
    </w:p>
    <w:p w:rsidR="00F87B98" w:rsidRDefault="00C42BC3">
      <w:pPr>
        <w:ind w:right="113"/>
        <w:jc w:val="center"/>
        <w:rPr>
          <w:sz w:val="22"/>
          <w:szCs w:val="22"/>
        </w:rPr>
      </w:pPr>
      <w:r>
        <w:rPr>
          <w:sz w:val="22"/>
          <w:szCs w:val="22"/>
        </w:rPr>
        <w:t>Brasília/DF, 31 de julho de 2020.</w:t>
      </w:r>
    </w:p>
    <w:p w:rsidR="00F87B98" w:rsidRDefault="00F87B98">
      <w:pPr>
        <w:ind w:right="113"/>
        <w:jc w:val="center"/>
        <w:rPr>
          <w:sz w:val="22"/>
          <w:szCs w:val="22"/>
        </w:rPr>
      </w:pP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ind w:right="100"/>
        <w:rPr>
          <w:sz w:val="22"/>
          <w:szCs w:val="22"/>
        </w:rPr>
      </w:pPr>
      <w:r>
        <w:rPr>
          <w:sz w:val="22"/>
          <w:szCs w:val="22"/>
        </w:rPr>
        <w:t xml:space="preserve">Considerando a conjuntura epidemiológica e reuniões deliberativas virtuais decorrentes, </w:t>
      </w:r>
      <w:r>
        <w:rPr>
          <w:b/>
          <w:sz w:val="22"/>
          <w:szCs w:val="22"/>
        </w:rPr>
        <w:t>atesto a veracidade e a autenticidade das informações prestadas</w:t>
      </w:r>
      <w:r>
        <w:rPr>
          <w:sz w:val="22"/>
          <w:szCs w:val="22"/>
        </w:rPr>
        <w:t xml:space="preserve">.  </w:t>
      </w:r>
    </w:p>
    <w:p w:rsidR="00F87B98" w:rsidRDefault="00F87B98">
      <w:pPr>
        <w:shd w:val="clear" w:color="auto" w:fill="FFFFFF"/>
        <w:tabs>
          <w:tab w:val="left" w:pos="1077"/>
        </w:tabs>
        <w:spacing w:line="276" w:lineRule="auto"/>
        <w:ind w:right="100"/>
        <w:jc w:val="left"/>
        <w:rPr>
          <w:sz w:val="22"/>
          <w:szCs w:val="22"/>
        </w:rPr>
      </w:pP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:rsidR="006B71AA" w:rsidRDefault="006B71AA">
      <w:pPr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:rsidR="006B71AA" w:rsidRDefault="006B71AA">
      <w:pPr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João Gilberto de Carvalho Accioly </w:t>
      </w:r>
      <w:r>
        <w:rPr>
          <w:sz w:val="22"/>
          <w:szCs w:val="22"/>
        </w:rPr>
        <w:t xml:space="preserve">  </w:t>
      </w: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Coordenador da CAF-CAU/DF    </w:t>
      </w:r>
    </w:p>
    <w:p w:rsidR="00F87B98" w:rsidRDefault="00F87B98">
      <w:pPr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1ª REUNIÃO EXTRAORDINÁRIA DA CAF-CAU/DF</w:t>
      </w:r>
      <w:r>
        <w:rPr>
          <w:sz w:val="22"/>
          <w:szCs w:val="22"/>
        </w:rPr>
        <w:t xml:space="preserve">  </w:t>
      </w:r>
    </w:p>
    <w:p w:rsidR="006B71AA" w:rsidRDefault="00C42BC3" w:rsidP="006B71AA">
      <w:pPr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  <w:r>
        <w:rPr>
          <w:sz w:val="22"/>
          <w:szCs w:val="22"/>
        </w:rPr>
        <w:t xml:space="preserve">Videoconferência </w:t>
      </w:r>
    </w:p>
    <w:p w:rsidR="006B71AA" w:rsidRDefault="006B71AA">
      <w:pPr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:rsidR="00F87B98" w:rsidRDefault="00C42BC3">
      <w:pPr>
        <w:shd w:val="clear" w:color="auto" w:fill="FFFFFF"/>
        <w:tabs>
          <w:tab w:val="left" w:pos="1077"/>
        </w:tabs>
        <w:spacing w:line="276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Folha de Votação</w:t>
      </w:r>
      <w:r>
        <w:rPr>
          <w:sz w:val="22"/>
          <w:szCs w:val="22"/>
        </w:rPr>
        <w:t xml:space="preserve">  </w:t>
      </w:r>
    </w:p>
    <w:tbl>
      <w:tblPr>
        <w:tblStyle w:val="a2"/>
        <w:tblW w:w="9074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9"/>
        <w:gridCol w:w="1275"/>
        <w:gridCol w:w="3525"/>
        <w:gridCol w:w="660"/>
        <w:gridCol w:w="660"/>
        <w:gridCol w:w="735"/>
        <w:gridCol w:w="690"/>
      </w:tblGrid>
      <w:tr w:rsidR="00F87B98">
        <w:trPr>
          <w:trHeight w:val="330"/>
        </w:trPr>
        <w:tc>
          <w:tcPr>
            <w:tcW w:w="28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Função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35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Conselheiro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27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Votação</w:t>
            </w: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630"/>
        </w:trPr>
        <w:tc>
          <w:tcPr>
            <w:tcW w:w="2804" w:type="dxa"/>
            <w:gridSpan w:val="2"/>
            <w:vMerge/>
            <w:tcBorders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7B98" w:rsidRDefault="00F87B98">
            <w:pPr>
              <w:tabs>
                <w:tab w:val="left" w:pos="1077"/>
              </w:tabs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352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7B98" w:rsidRDefault="00F87B98">
            <w:pPr>
              <w:tabs>
                <w:tab w:val="left" w:pos="1077"/>
              </w:tabs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Sim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220" w:right="-4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Não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Abst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Ausên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645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Coordenador 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João Gilberto de Carvalho Accioly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330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Coordenadora-adjunta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Gabriela de Souza </w:t>
            </w:r>
            <w:proofErr w:type="spellStart"/>
            <w:r>
              <w:rPr>
                <w:sz w:val="22"/>
                <w:szCs w:val="22"/>
              </w:rPr>
              <w:t>Tenorio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330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Membro em titularidade 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Letícia Miguel Teixeira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645"/>
        </w:trPr>
        <w:tc>
          <w:tcPr>
            <w:tcW w:w="2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Membro  </w:t>
            </w:r>
          </w:p>
        </w:tc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Daniel Marcos </w:t>
            </w:r>
            <w:proofErr w:type="spellStart"/>
            <w:r>
              <w:rPr>
                <w:sz w:val="22"/>
                <w:szCs w:val="22"/>
              </w:rPr>
              <w:t>Szwec</w:t>
            </w:r>
            <w:proofErr w:type="spellEnd"/>
            <w:r>
              <w:rPr>
                <w:sz w:val="22"/>
                <w:szCs w:val="22"/>
              </w:rPr>
              <w:t xml:space="preserve"> dos Santos Fernandes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330"/>
        </w:trPr>
        <w:tc>
          <w:tcPr>
            <w:tcW w:w="152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22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3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-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</w:tc>
      </w:tr>
      <w:tr w:rsidR="00F87B98">
        <w:trPr>
          <w:trHeight w:val="3180"/>
        </w:trPr>
        <w:tc>
          <w:tcPr>
            <w:tcW w:w="907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Histórico da votação:</w:t>
            </w:r>
            <w:r>
              <w:rPr>
                <w:sz w:val="22"/>
                <w:szCs w:val="22"/>
              </w:rPr>
              <w:t xml:space="preserve">  </w:t>
            </w:r>
          </w:p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1ª REUNIÃO EXTRAORDINÁRIA DA CAF-CAU/DF</w:t>
            </w:r>
            <w:r>
              <w:rPr>
                <w:sz w:val="22"/>
                <w:szCs w:val="22"/>
              </w:rPr>
              <w:t xml:space="preserve">  </w:t>
            </w:r>
          </w:p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Data:</w:t>
            </w:r>
            <w:r>
              <w:rPr>
                <w:sz w:val="22"/>
                <w:szCs w:val="22"/>
              </w:rPr>
              <w:t xml:space="preserve"> 31/07/2020  </w:t>
            </w:r>
          </w:p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Matéria em votação:</w:t>
            </w:r>
            <w:r>
              <w:rPr>
                <w:sz w:val="22"/>
                <w:szCs w:val="22"/>
              </w:rPr>
              <w:t xml:space="preserve"> APROVAÇÃO DE UTILIZAÇÃO DE SUPERÁVIT FINANCEIRO PARA A NOVA SEDE DO CAU/DF E PROJETO ESPECÍFICO “BRASÍLIA 60 ANOS”. </w:t>
            </w:r>
            <w:r>
              <w:rPr>
                <w:b/>
                <w:sz w:val="22"/>
                <w:szCs w:val="22"/>
              </w:rPr>
              <w:t>Resultado da votação: Sim</w:t>
            </w:r>
            <w:r>
              <w:rPr>
                <w:sz w:val="22"/>
                <w:szCs w:val="22"/>
              </w:rPr>
              <w:t xml:space="preserve"> (04</w:t>
            </w:r>
            <w:proofErr w:type="gramStart"/>
            <w:r>
              <w:rPr>
                <w:sz w:val="22"/>
                <w:szCs w:val="22"/>
              </w:rPr>
              <w:t xml:space="preserve">) </w:t>
            </w:r>
            <w:r>
              <w:rPr>
                <w:b/>
                <w:sz w:val="22"/>
                <w:szCs w:val="22"/>
              </w:rPr>
              <w:t>Não</w:t>
            </w:r>
            <w:proofErr w:type="gramEnd"/>
            <w:r>
              <w:rPr>
                <w:sz w:val="22"/>
                <w:szCs w:val="22"/>
              </w:rPr>
              <w:t xml:space="preserve"> (XX) </w:t>
            </w:r>
            <w:r>
              <w:rPr>
                <w:b/>
                <w:sz w:val="22"/>
                <w:szCs w:val="22"/>
              </w:rPr>
              <w:t>Abstenções</w:t>
            </w:r>
            <w:r>
              <w:rPr>
                <w:sz w:val="22"/>
                <w:szCs w:val="22"/>
              </w:rPr>
              <w:t xml:space="preserve"> (XX) </w:t>
            </w:r>
            <w:r>
              <w:rPr>
                <w:b/>
                <w:sz w:val="22"/>
                <w:szCs w:val="22"/>
              </w:rPr>
              <w:t>Ausências</w:t>
            </w:r>
            <w:r>
              <w:rPr>
                <w:sz w:val="22"/>
                <w:szCs w:val="22"/>
              </w:rPr>
              <w:t xml:space="preserve"> (XX), </w:t>
            </w:r>
            <w:r>
              <w:rPr>
                <w:b/>
                <w:sz w:val="22"/>
                <w:szCs w:val="22"/>
              </w:rPr>
              <w:t xml:space="preserve">Total </w:t>
            </w:r>
            <w:r>
              <w:rPr>
                <w:sz w:val="22"/>
                <w:szCs w:val="22"/>
              </w:rPr>
              <w:t xml:space="preserve">(04)   </w:t>
            </w:r>
          </w:p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Ocorrências</w:t>
            </w:r>
            <w:r>
              <w:rPr>
                <w:sz w:val="22"/>
                <w:szCs w:val="22"/>
              </w:rPr>
              <w:t xml:space="preserve">:   </w:t>
            </w:r>
          </w:p>
          <w:p w:rsidR="00F87B98" w:rsidRDefault="00C42BC3">
            <w:pPr>
              <w:tabs>
                <w:tab w:val="left" w:pos="1077"/>
              </w:tabs>
              <w:spacing w:before="40" w:after="40" w:line="276" w:lineRule="auto"/>
              <w:ind w:left="56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Secretariado: Juliana Severo dos Santos   </w:t>
            </w:r>
            <w:r>
              <w:rPr>
                <w:b/>
                <w:sz w:val="22"/>
                <w:szCs w:val="22"/>
              </w:rPr>
              <w:br/>
              <w:t>Condutor dos trabalhos (</w:t>
            </w:r>
            <w:r>
              <w:rPr>
                <w:sz w:val="22"/>
                <w:szCs w:val="22"/>
              </w:rPr>
              <w:t>coordenador</w:t>
            </w:r>
            <w:r>
              <w:rPr>
                <w:b/>
                <w:sz w:val="22"/>
                <w:szCs w:val="22"/>
              </w:rPr>
              <w:t>):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João Gilberto de Carvalho Accioly</w:t>
            </w:r>
            <w:r>
              <w:rPr>
                <w:sz w:val="22"/>
                <w:szCs w:val="22"/>
              </w:rPr>
              <w:t xml:space="preserve">  </w:t>
            </w:r>
          </w:p>
        </w:tc>
      </w:tr>
    </w:tbl>
    <w:p w:rsidR="00F87B98" w:rsidRDefault="00F87B98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</w:p>
    <w:p w:rsidR="00F87B98" w:rsidRDefault="00F87B98">
      <w:pPr>
        <w:spacing w:line="312" w:lineRule="auto"/>
        <w:ind w:left="142" w:right="142"/>
        <w:rPr>
          <w:sz w:val="22"/>
          <w:szCs w:val="22"/>
        </w:rPr>
      </w:pPr>
    </w:p>
    <w:sectPr w:rsidR="00F87B9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567" w:footer="3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8E4" w:rsidRDefault="009C18E4">
      <w:r>
        <w:separator/>
      </w:r>
    </w:p>
  </w:endnote>
  <w:endnote w:type="continuationSeparator" w:id="0">
    <w:p w:rsidR="009C18E4" w:rsidRDefault="009C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B98" w:rsidRDefault="00C42BC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D36FC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D36FCD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3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BAFDC1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:rsidR="00F87B98" w:rsidRDefault="00C42BC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7B98" w:rsidRDefault="00C42BC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8E4" w:rsidRDefault="009C18E4">
      <w:r>
        <w:separator/>
      </w:r>
    </w:p>
  </w:footnote>
  <w:footnote w:type="continuationSeparator" w:id="0">
    <w:p w:rsidR="009C18E4" w:rsidRDefault="009C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B98" w:rsidRDefault="00F87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B98" w:rsidRDefault="00C42B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891039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B98" w:rsidRDefault="00F87B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B98"/>
    <w:rsid w:val="0056465B"/>
    <w:rsid w:val="005A3F60"/>
    <w:rsid w:val="006B71AA"/>
    <w:rsid w:val="009C18E4"/>
    <w:rsid w:val="00B20E8A"/>
    <w:rsid w:val="00C42BC3"/>
    <w:rsid w:val="00D36FCD"/>
    <w:rsid w:val="00D54A36"/>
    <w:rsid w:val="00F8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515EAB-C58E-4ABD-98D3-9D8B9914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zJJ5NW27AVLJkD1/Mw+079607w==">AMUW2mV+xHyzYe8bYDtw395gLhznPnSRPKGyDpI+i4S6VdpyDs++yptHALbFd/8MpMp1vVmZ8xVAcW56N5wUviDKR1gS2aaE6T97pT3fRnBjjoiXXGBDUv3VPRO2PjDctrgaJjtuQOOO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746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</cp:revision>
  <cp:lastPrinted>2020-08-14T14:27:00Z</cp:lastPrinted>
  <dcterms:created xsi:type="dcterms:W3CDTF">2019-02-11T13:06:00Z</dcterms:created>
  <dcterms:modified xsi:type="dcterms:W3CDTF">2020-08-14T14:40:00Z</dcterms:modified>
</cp:coreProperties>
</file>