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embeddings/oleObject1.bin" ContentType="application/vnd.openxmlformats-officedocument.oleObject"/>
  <Override PartName="/word/media/image1.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tabs>
          <w:tab w:val="clear" w:pos="720"/>
          <w:tab w:val="left" w:pos="8931" w:leader="none"/>
        </w:tabs>
        <w:spacing w:lineRule="auto" w:line="360" w:before="240" w:after="0"/>
        <w:jc w:val="both"/>
        <w:rPr/>
      </w:pPr>
      <w:bookmarkStart w:id="0" w:name="_heading=h.gjdgxs"/>
      <w:bookmarkEnd w:id="0"/>
      <w:r>
        <w:rPr>
          <w:rFonts w:ascii="Times New Roman" w:hAnsi="Times New Roman"/>
        </w:rPr>
        <w:t xml:space="preserve">Aos vinte e sete dias do mês de julho de dois mil e vinte, às dezoito horas, por videoconferência via </w:t>
      </w:r>
      <w:r>
        <w:rPr>
          <w:rFonts w:ascii="Times New Roman" w:hAnsi="Times New Roman"/>
          <w:i/>
        </w:rPr>
        <w:t>ZOOM</w:t>
      </w:r>
      <w:r>
        <w:rPr>
          <w:rFonts w:ascii="Times New Roman" w:hAnsi="Times New Roman"/>
        </w:rPr>
        <w:t xml:space="preserve">, reuniu-se </w:t>
      </w:r>
      <w:r>
        <w:rPr>
          <w:rFonts w:ascii="Times New Roman" w:hAnsi="Times New Roman"/>
          <w:b/>
        </w:rPr>
        <w:t>o Plenário do</w:t>
      </w:r>
      <w:r>
        <w:rPr>
          <w:rFonts w:ascii="Times New Roman" w:hAnsi="Times New Roman"/>
        </w:rPr>
        <w:t xml:space="preserve"> </w:t>
      </w:r>
      <w:r>
        <w:rPr>
          <w:rFonts w:ascii="Times New Roman" w:hAnsi="Times New Roman"/>
          <w:b/>
        </w:rPr>
        <w:t>Conselho de Arquitetura e Urbanismo do Distrito Federal – CAU/DF,</w:t>
      </w:r>
      <w:r>
        <w:rPr>
          <w:rFonts w:ascii="Times New Roman" w:hAnsi="Times New Roman"/>
        </w:rPr>
        <w:t xml:space="preserve"> sob a </w:t>
      </w:r>
      <w:r>
        <w:rPr>
          <w:rFonts w:ascii="Times New Roman" w:hAnsi="Times New Roman"/>
          <w:b/>
        </w:rPr>
        <w:t xml:space="preserve">presidência </w:t>
      </w:r>
      <w:r>
        <w:rPr>
          <w:rFonts w:ascii="Times New Roman" w:hAnsi="Times New Roman"/>
        </w:rPr>
        <w:t xml:space="preserve">de Daniel Mangabeira da Vinha, com </w:t>
      </w:r>
      <w:r>
        <w:rPr>
          <w:rFonts w:ascii="Times New Roman" w:hAnsi="Times New Roman"/>
          <w:b/>
        </w:rPr>
        <w:t>os conselheiros titulares</w:t>
      </w:r>
      <w:r>
        <w:rPr>
          <w:rFonts w:ascii="Times New Roman" w:hAnsi="Times New Roman"/>
        </w:rPr>
        <w:t xml:space="preserve">: André Bello, Antônio Menezes Júnior, Daniel Marcos Szwec dos Santos Fernandes, Gabriela de Souza Tenorio, Giselle Moll Mascarenhas, João Gilberto de Carvalho Accioly, Luciana Jobim Navarro, Mônica Andréa Blanco, Pedro de Almeida Grilo e Rogério Markiewicz, </w:t>
      </w:r>
      <w:r>
        <w:rPr>
          <w:rFonts w:ascii="Times New Roman" w:hAnsi="Times New Roman"/>
          <w:b/>
        </w:rPr>
        <w:t>os conselheiros suplentes:</w:t>
      </w:r>
      <w:r>
        <w:rPr>
          <w:rFonts w:ascii="Times New Roman" w:hAnsi="Times New Roman"/>
        </w:rPr>
        <w:t xml:space="preserve"> João Eduardo Martins Dantas e Júlia Fernandes Teixeira, </w:t>
      </w:r>
      <w:r>
        <w:rPr>
          <w:rFonts w:ascii="Times New Roman" w:hAnsi="Times New Roman"/>
          <w:b/>
        </w:rPr>
        <w:t xml:space="preserve">os conselheiros federais: </w:t>
      </w:r>
      <w:r>
        <w:rPr>
          <w:rFonts w:ascii="Times New Roman" w:hAnsi="Times New Roman"/>
        </w:rPr>
        <w:t xml:space="preserve">Luís Fernando Zeferino e Raul Wanderley Gradim, </w:t>
      </w:r>
      <w:r>
        <w:rPr>
          <w:rFonts w:ascii="Times New Roman" w:hAnsi="Times New Roman"/>
          <w:b/>
        </w:rPr>
        <w:t>o gerente geral</w:t>
      </w:r>
      <w:r>
        <w:rPr>
          <w:rFonts w:ascii="Times New Roman" w:hAnsi="Times New Roman"/>
        </w:rPr>
        <w:t xml:space="preserve"> Flávio Soares Oliveira, </w:t>
      </w:r>
      <w:r>
        <w:rPr>
          <w:rFonts w:ascii="Times New Roman" w:hAnsi="Times New Roman"/>
          <w:b/>
        </w:rPr>
        <w:t>o assessor de TI</w:t>
      </w:r>
      <w:r>
        <w:rPr>
          <w:rFonts w:ascii="Times New Roman" w:hAnsi="Times New Roman"/>
        </w:rPr>
        <w:t xml:space="preserve"> Alessandro da Silva Viana, </w:t>
      </w:r>
      <w:r>
        <w:rPr>
          <w:rFonts w:ascii="Times New Roman" w:hAnsi="Times New Roman"/>
          <w:b/>
        </w:rPr>
        <w:t>o assessor da presidência</w:t>
      </w:r>
      <w:r>
        <w:rPr>
          <w:rFonts w:ascii="Times New Roman" w:hAnsi="Times New Roman"/>
        </w:rPr>
        <w:t xml:space="preserve"> Alexandre Caputo Barreto, </w:t>
      </w:r>
      <w:r>
        <w:rPr>
          <w:rFonts w:ascii="Times New Roman" w:hAnsi="Times New Roman"/>
          <w:b/>
        </w:rPr>
        <w:t>a assessora de comunicação e imprensa</w:t>
      </w:r>
      <w:r>
        <w:rPr>
          <w:rFonts w:ascii="Times New Roman" w:hAnsi="Times New Roman"/>
        </w:rPr>
        <w:t xml:space="preserve"> Andréa Silva Mota Lopes, </w:t>
      </w:r>
      <w:r>
        <w:rPr>
          <w:rFonts w:ascii="Times New Roman" w:hAnsi="Times New Roman"/>
          <w:b/>
        </w:rPr>
        <w:t>o gerente de atendimento e  fiscalização</w:t>
      </w:r>
      <w:r>
        <w:rPr>
          <w:rFonts w:ascii="Times New Roman" w:hAnsi="Times New Roman"/>
        </w:rPr>
        <w:t xml:space="preserve"> Cristiano Ramalho, </w:t>
      </w:r>
      <w:r>
        <w:rPr>
          <w:rFonts w:ascii="Times New Roman" w:hAnsi="Times New Roman"/>
          <w:b/>
        </w:rPr>
        <w:t>a assistente administrativa</w:t>
      </w:r>
      <w:r>
        <w:rPr>
          <w:rFonts w:ascii="Times New Roman" w:hAnsi="Times New Roman"/>
        </w:rPr>
        <w:t xml:space="preserve"> Juliana Severo dos Santos e </w:t>
      </w:r>
      <w:r>
        <w:rPr>
          <w:rFonts w:ascii="Times New Roman" w:hAnsi="Times New Roman"/>
          <w:b/>
        </w:rPr>
        <w:t>a advogada</w:t>
      </w:r>
      <w:r>
        <w:rPr>
          <w:rFonts w:ascii="Times New Roman" w:hAnsi="Times New Roman"/>
        </w:rPr>
        <w:t xml:space="preserve"> Karla Dias Faulstich Alves.  </w:t>
      </w:r>
      <w:r>
        <w:rPr>
          <w:rFonts w:ascii="Times New Roman" w:hAnsi="Times New Roman"/>
          <w:b/>
        </w:rPr>
        <w:t>Justificaram sua ausência os conselheiros</w:t>
      </w:r>
      <w:r>
        <w:rPr>
          <w:rFonts w:ascii="Times New Roman" w:hAnsi="Times New Roman"/>
        </w:rPr>
        <w:t xml:space="preserve">: Clécio Nonato Resende, Letícia Miguel Teixeira e Valéria Arruda de Castro. </w:t>
      </w:r>
      <w:r>
        <w:rPr>
          <w:rFonts w:ascii="Times New Roman" w:hAnsi="Times New Roman"/>
          <w:b/>
          <w:u w:val="single"/>
        </w:rPr>
        <w:t>1. Abertura:</w:t>
      </w:r>
      <w:r>
        <w:rPr>
          <w:rFonts w:ascii="Times New Roman" w:hAnsi="Times New Roman"/>
        </w:rPr>
        <w:t xml:space="preserve"> O presidente </w:t>
      </w:r>
      <w:r>
        <w:rPr>
          <w:rFonts w:ascii="Times New Roman" w:hAnsi="Times New Roman"/>
          <w:b/>
        </w:rPr>
        <w:t>DANIEL MANGABEIRA DA VINHA</w:t>
      </w:r>
      <w:r>
        <w:rPr>
          <w:rFonts w:ascii="Times New Roman" w:hAnsi="Times New Roman"/>
        </w:rPr>
        <w:t xml:space="preserve">, após a verificação do quórum, iniciou a 103ª Sessão Plenária Ordinária do CAU/DF. </w:t>
      </w:r>
      <w:r>
        <w:rPr>
          <w:rFonts w:ascii="Times New Roman" w:hAnsi="Times New Roman"/>
          <w:b/>
          <w:u w:val="single"/>
        </w:rPr>
        <w:t>2. Leitura, discussão e aprovação da Pauta:</w:t>
      </w:r>
      <w:r>
        <w:rPr>
          <w:rFonts w:ascii="Times New Roman" w:hAnsi="Times New Roman"/>
        </w:rPr>
        <w:t xml:space="preserve"> O presidente </w:t>
      </w:r>
      <w:r>
        <w:rPr>
          <w:rFonts w:ascii="Times New Roman" w:hAnsi="Times New Roman"/>
          <w:b/>
        </w:rPr>
        <w:t>DANIEL MANGABEIRA DA VINHA</w:t>
      </w:r>
      <w:r>
        <w:rPr>
          <w:rFonts w:ascii="Times New Roman" w:hAnsi="Times New Roman"/>
        </w:rPr>
        <w:t xml:space="preserve"> leu a pauta e perguntou se alguém teria alguma observação, dúvida ou mesmo necessidade de esclarecimento. A pauta foi aprovada por unanimidade, com o seguinte acréscimo: 6. Relato de Processos: SICCAU n.º 499987/2017 e SICCAU n.º 660198/2018</w:t>
      </w:r>
      <w:r>
        <w:rPr>
          <w:rFonts w:ascii="Times New Roman" w:hAnsi="Times New Roman"/>
          <w:b/>
        </w:rPr>
        <w:t xml:space="preserve">. </w:t>
      </w:r>
      <w:r>
        <w:rPr>
          <w:rFonts w:ascii="Times New Roman" w:hAnsi="Times New Roman"/>
          <w:b/>
          <w:u w:val="single"/>
        </w:rPr>
        <w:t>3. Leitura, discussão e aprovação da Ata da 102ª Sessão Plenária Ordinária do CAU/DF:</w:t>
      </w:r>
      <w:r>
        <w:rPr>
          <w:rFonts w:ascii="Times New Roman" w:hAnsi="Times New Roman"/>
          <w:b/>
        </w:rPr>
        <w:t xml:space="preserve"> </w:t>
      </w:r>
      <w:r>
        <w:rPr>
          <w:rFonts w:ascii="Times New Roman" w:hAnsi="Times New Roman"/>
        </w:rPr>
        <w:t>A Ata da 102ª Sessão Plenária Ordinária do CAU/DF foi aprovada, com</w:t>
      </w:r>
      <w:r>
        <w:rPr>
          <w:rFonts w:ascii="Times New Roman" w:hAnsi="Times New Roman"/>
          <w:b/>
          <w:highlight w:val="white"/>
        </w:rPr>
        <w:t xml:space="preserve"> 5 votos favoráveis</w:t>
      </w:r>
      <w:r>
        <w:rPr>
          <w:rFonts w:ascii="Times New Roman" w:hAnsi="Times New Roman"/>
          <w:highlight w:val="white"/>
        </w:rPr>
        <w:t xml:space="preserve"> dos conselheiros: André Bello, Antônio Menezes Júnior, Gabriela de Souza Tenorio, Mônica Andréa Blanco e Rogério Markiewicz </w:t>
      </w:r>
      <w:r>
        <w:rPr>
          <w:rFonts w:ascii="Times New Roman" w:hAnsi="Times New Roman"/>
          <w:b/>
          <w:highlight w:val="white"/>
        </w:rPr>
        <w:t>e 01 abstenção</w:t>
      </w:r>
      <w:r>
        <w:rPr>
          <w:rFonts w:ascii="Times New Roman" w:hAnsi="Times New Roman"/>
          <w:highlight w:val="white"/>
        </w:rPr>
        <w:t xml:space="preserve"> da conselheira Luciana Jobim Navarro. </w:t>
      </w:r>
      <w:r>
        <w:rPr>
          <w:rFonts w:ascii="Times New Roman" w:hAnsi="Times New Roman"/>
          <w:b/>
          <w:highlight w:val="white"/>
          <w:u w:val="single"/>
        </w:rPr>
        <w:t xml:space="preserve">4. Aprovação de </w:t>
      </w:r>
      <w:r>
        <w:rPr>
          <w:rFonts w:ascii="Times New Roman" w:hAnsi="Times New Roman"/>
          <w:b/>
          <w:i/>
          <w:highlight w:val="white"/>
          <w:u w:val="single"/>
        </w:rPr>
        <w:t>ad referendum</w:t>
      </w:r>
      <w:r>
        <w:rPr>
          <w:rFonts w:ascii="Times New Roman" w:hAnsi="Times New Roman"/>
          <w:b/>
          <w:highlight w:val="white"/>
          <w:u w:val="single"/>
        </w:rPr>
        <w:t xml:space="preserve"> nº 009/2020 - indicação de representantes do CAU/DF para composição da Comissão Permanente de Monitoramento do Código de Obras e Edificações – CPCOE:</w:t>
      </w:r>
      <w:r>
        <w:rPr>
          <w:rFonts w:ascii="Times New Roman" w:hAnsi="Times New Roman"/>
          <w:highlight w:val="white"/>
        </w:rPr>
        <w:t xml:space="preserve"> O presidente </w:t>
      </w:r>
      <w:r>
        <w:rPr>
          <w:rFonts w:ascii="Times New Roman" w:hAnsi="Times New Roman"/>
          <w:b/>
          <w:highlight w:val="white"/>
        </w:rPr>
        <w:t>DANIEL MANGABEIRA DA VINHA</w:t>
      </w:r>
      <w:r>
        <w:rPr>
          <w:rFonts w:ascii="Times New Roman" w:hAnsi="Times New Roman"/>
          <w:highlight w:val="white"/>
        </w:rPr>
        <w:t xml:space="preserve"> relatou que foi preciso indicar, </w:t>
      </w:r>
      <w:r>
        <w:rPr>
          <w:rFonts w:ascii="Times New Roman" w:hAnsi="Times New Roman"/>
          <w:i/>
          <w:highlight w:val="white"/>
        </w:rPr>
        <w:t>ad referendum</w:t>
      </w:r>
      <w:r>
        <w:rPr>
          <w:rFonts w:ascii="Times New Roman" w:hAnsi="Times New Roman"/>
          <w:highlight w:val="white"/>
        </w:rPr>
        <w:t xml:space="preserve"> ao Plenário do CAU/DF, a recondução dos representantes do CAU/DF na Comissão Permanente de Monitoramento do Código de Obras e Edificações (CPCOE). O</w:t>
      </w:r>
      <w:r>
        <w:rPr>
          <w:rFonts w:ascii="Times New Roman" w:hAnsi="Times New Roman"/>
        </w:rPr>
        <w:t xml:space="preserve"> Plenário do CAU/DF </w:t>
      </w:r>
      <w:r>
        <w:rPr>
          <w:rFonts w:ascii="Times New Roman" w:hAnsi="Times New Roman"/>
          <w:b/>
        </w:rPr>
        <w:t>deliberou</w:t>
      </w:r>
      <w:r>
        <w:rPr>
          <w:rFonts w:ascii="Times New Roman" w:hAnsi="Times New Roman"/>
        </w:rPr>
        <w:t xml:space="preserve"> por referendar os termos da Deliberação Plenária </w:t>
      </w:r>
      <w:r>
        <w:rPr>
          <w:rFonts w:ascii="Times New Roman" w:hAnsi="Times New Roman"/>
          <w:i/>
        </w:rPr>
        <w:t xml:space="preserve">ad referendum </w:t>
      </w:r>
      <w:r>
        <w:rPr>
          <w:rFonts w:ascii="Times New Roman" w:hAnsi="Times New Roman"/>
        </w:rPr>
        <w:t>nº 009/2020 do CAU/DF, que ratifica a indicação da conselheira Valéria Arruda de Castro como titular e do conselheiro André Velloso Ramos na função de suplente para composição do CPCOE</w:t>
      </w:r>
      <w:r>
        <w:rPr>
          <w:rFonts w:ascii="Times New Roman" w:hAnsi="Times New Roman"/>
          <w:highlight w:val="white"/>
        </w:rPr>
        <w:t xml:space="preserve">, com </w:t>
      </w:r>
      <w:r>
        <w:rPr>
          <w:rFonts w:ascii="Times New Roman" w:hAnsi="Times New Roman"/>
          <w:b/>
          <w:highlight w:val="white"/>
        </w:rPr>
        <w:t>10 votos favoráveis</w:t>
      </w:r>
      <w:r>
        <w:rPr>
          <w:rFonts w:ascii="Times New Roman" w:hAnsi="Times New Roman"/>
          <w:highlight w:val="white"/>
        </w:rPr>
        <w:t xml:space="preserve"> dos conselheiros: André Bello, Antônio Menezes Júnior, Daniel Szwec dos Santos Fernandes, Gabriela de Souza Tenorio, Giselle Moll Mascarenhas, João Gilberto de Carvalho Accioly, Luciana Jobim Navarro, Mônica Andréa Blanco, Pedro de Almeida Grilo e Rogério Markiewicz; </w:t>
      </w:r>
      <w:r>
        <w:rPr>
          <w:rFonts w:ascii="Times New Roman" w:hAnsi="Times New Roman"/>
          <w:b/>
          <w:highlight w:val="white"/>
        </w:rPr>
        <w:t>00</w:t>
      </w:r>
      <w:r>
        <w:rPr>
          <w:rFonts w:ascii="Times New Roman" w:hAnsi="Times New Roman"/>
          <w:highlight w:val="white"/>
        </w:rPr>
        <w:t xml:space="preserve"> ausência; </w:t>
      </w:r>
      <w:r>
        <w:rPr>
          <w:rFonts w:ascii="Times New Roman" w:hAnsi="Times New Roman"/>
          <w:b/>
          <w:highlight w:val="white"/>
        </w:rPr>
        <w:t xml:space="preserve">00 </w:t>
      </w:r>
      <w:r>
        <w:rPr>
          <w:rFonts w:ascii="Times New Roman" w:hAnsi="Times New Roman"/>
          <w:highlight w:val="white"/>
        </w:rPr>
        <w:t xml:space="preserve">voto contrário e </w:t>
      </w:r>
      <w:r>
        <w:rPr>
          <w:rFonts w:ascii="Times New Roman" w:hAnsi="Times New Roman"/>
          <w:b/>
          <w:highlight w:val="white"/>
        </w:rPr>
        <w:t>00</w:t>
      </w:r>
      <w:r>
        <w:rPr>
          <w:rFonts w:ascii="Times New Roman" w:hAnsi="Times New Roman"/>
          <w:highlight w:val="white"/>
        </w:rPr>
        <w:t xml:space="preserve"> abstenção. </w:t>
      </w:r>
      <w:r>
        <w:rPr>
          <w:rFonts w:ascii="Times New Roman" w:hAnsi="Times New Roman"/>
          <w:b/>
          <w:highlight w:val="white"/>
          <w:u w:val="single"/>
        </w:rPr>
        <w:t>5. Indicação de representantes titular e suplente para o CONPLAN</w:t>
      </w:r>
      <w:r>
        <w:rPr>
          <w:rFonts w:ascii="Times New Roman" w:hAnsi="Times New Roman"/>
          <w:b/>
          <w:u w:val="single"/>
        </w:rPr>
        <w:t>:</w:t>
      </w:r>
      <w:r>
        <w:rPr>
          <w:rFonts w:ascii="Times New Roman" w:hAnsi="Times New Roman"/>
          <w:b/>
        </w:rPr>
        <w:t xml:space="preserve"> </w:t>
      </w:r>
      <w:r>
        <w:rPr>
          <w:rFonts w:ascii="Times New Roman" w:hAnsi="Times New Roman"/>
        </w:rPr>
        <w:t xml:space="preserve">A conselheira Júlia Fernandes Teixeira se apresentou como candidata a representante titular do CAU/DF no Conselho de Planejamento Territorial e Urbano do Distrito Federal (Conplan), em caso de impossibilidade da conselheira Gabriela de Souza Tenorio. A conselheira Giselle Moll Mascarenhas relatou que a conselheira Gabriela de Souza Tenorio irá representar a Faculdade de Arquitetura e Urbanismo da Universidade de Brasília (FAU/UnB) no Conplan. O Plenário do CAU/DF </w:t>
      </w:r>
      <w:r>
        <w:rPr>
          <w:rFonts w:ascii="Times New Roman" w:hAnsi="Times New Roman"/>
          <w:b/>
        </w:rPr>
        <w:t xml:space="preserve">deliberou </w:t>
      </w:r>
      <w:r>
        <w:rPr>
          <w:rFonts w:ascii="Times New Roman" w:hAnsi="Times New Roman"/>
        </w:rPr>
        <w:t>por aprovar a indicação da conselheira Julia Teixeira Fernandes, como representante titular, e do conselheiro Pedro de Almeida Grilo, como representante suplente, para composição do CONPLAN</w:t>
      </w:r>
      <w:r>
        <w:rPr>
          <w:rFonts w:ascii="Times New Roman" w:hAnsi="Times New Roman"/>
          <w:highlight w:val="white"/>
        </w:rPr>
        <w:t xml:space="preserve">, com </w:t>
      </w:r>
      <w:r>
        <w:rPr>
          <w:rFonts w:ascii="Times New Roman" w:hAnsi="Times New Roman"/>
          <w:b/>
          <w:highlight w:val="white"/>
        </w:rPr>
        <w:t>10 votos favoráveis</w:t>
      </w:r>
      <w:r>
        <w:rPr>
          <w:rFonts w:ascii="Times New Roman" w:hAnsi="Times New Roman"/>
          <w:highlight w:val="white"/>
        </w:rPr>
        <w:t xml:space="preserve"> dos conselheiros: André Bello, Antônio Menezes Júnior, Daniel Marcos Szwec dos Santos Fernandes, Gabriela de Souza Tenorio, Giselle Moll Mascarenhas, João Gilberto de Carvalho Accioly, Luciana Jobim Navarro, Mônica Andréa Blanco, Pedro de Almeida Grilo e Rogério Markiewicz; </w:t>
      </w:r>
      <w:r>
        <w:rPr>
          <w:rFonts w:ascii="Times New Roman" w:hAnsi="Times New Roman"/>
          <w:b/>
          <w:highlight w:val="white"/>
        </w:rPr>
        <w:t>00</w:t>
      </w:r>
      <w:r>
        <w:rPr>
          <w:rFonts w:ascii="Times New Roman" w:hAnsi="Times New Roman"/>
          <w:highlight w:val="white"/>
        </w:rPr>
        <w:t xml:space="preserve"> ausência; </w:t>
      </w:r>
      <w:r>
        <w:rPr>
          <w:rFonts w:ascii="Times New Roman" w:hAnsi="Times New Roman"/>
          <w:b/>
          <w:highlight w:val="white"/>
        </w:rPr>
        <w:t>00</w:t>
      </w:r>
      <w:r>
        <w:rPr>
          <w:rFonts w:ascii="Times New Roman" w:hAnsi="Times New Roman"/>
          <w:highlight w:val="white"/>
        </w:rPr>
        <w:t xml:space="preserve"> voto contrário e </w:t>
      </w:r>
      <w:r>
        <w:rPr>
          <w:rFonts w:ascii="Times New Roman" w:hAnsi="Times New Roman"/>
          <w:b/>
          <w:highlight w:val="white"/>
        </w:rPr>
        <w:t>00</w:t>
      </w:r>
      <w:r>
        <w:rPr>
          <w:rFonts w:ascii="Times New Roman" w:hAnsi="Times New Roman"/>
          <w:highlight w:val="white"/>
        </w:rPr>
        <w:t xml:space="preserve"> abstenção. </w:t>
      </w:r>
      <w:r>
        <w:rPr>
          <w:rFonts w:ascii="Times New Roman" w:hAnsi="Times New Roman"/>
          <w:b/>
          <w:highlight w:val="white"/>
          <w:u w:val="single"/>
        </w:rPr>
        <w:t>6. Prorrogar a suspensão do atendimento ao público na modalidade presencial do CAU/DF:</w:t>
      </w:r>
      <w:r>
        <w:rPr>
          <w:rFonts w:ascii="Times New Roman" w:hAnsi="Times New Roman"/>
          <w:highlight w:val="white"/>
        </w:rPr>
        <w:t xml:space="preserve"> O presidente </w:t>
      </w:r>
      <w:r>
        <w:rPr>
          <w:rFonts w:ascii="Times New Roman" w:hAnsi="Times New Roman"/>
          <w:b/>
          <w:highlight w:val="white"/>
        </w:rPr>
        <w:t>DANIEL MANGABEIRA DA VINHA</w:t>
      </w:r>
      <w:r>
        <w:rPr>
          <w:rFonts w:ascii="Times New Roman" w:hAnsi="Times New Roman"/>
          <w:highlight w:val="white"/>
        </w:rPr>
        <w:t xml:space="preserve"> externou a grande preocupação do Conselho Diretor do CAU/DF com a saúde dos colaboradores do CAU/DF e indicou que o retorno ao trabalho presencial deve ocorrer em duas etapas, levando em consideração todos os cuidados necessários para prevenção do novo coronavírus. Propôs a criação de um Grupo de Trabalho para definir processos para a retomada das atividades presenciais dos colaboradores e do atendimento ao público. </w:t>
      </w:r>
      <w:r>
        <w:rPr>
          <w:rFonts w:ascii="Times New Roman" w:hAnsi="Times New Roman"/>
        </w:rPr>
        <w:t xml:space="preserve">O Plenário do CAU/DF </w:t>
      </w:r>
      <w:r>
        <w:rPr>
          <w:rFonts w:ascii="Times New Roman" w:hAnsi="Times New Roman"/>
          <w:b/>
        </w:rPr>
        <w:t xml:space="preserve">aprovou </w:t>
      </w:r>
      <w:r>
        <w:rPr>
          <w:rFonts w:ascii="Times New Roman" w:hAnsi="Times New Roman"/>
        </w:rPr>
        <w:t xml:space="preserve">a criação da Grupo de Trabalho, com a seguinte composição: Conselheiros do CAU/DF: João Gilberto de Carvalho Accioly, Júlia Teixeira Fernandes, Luciana Jobim Navarro e vice-presidente Mônica Andréa Blanco; Empregados do CAU/DF: Alexandre Caputo Barreto, Cristiano Ramalho, Karla Dias Faulstich Alves e Phellipe Marccelo Macedo Rodrigues. O presidente </w:t>
      </w:r>
      <w:r>
        <w:rPr>
          <w:rFonts w:ascii="Times New Roman" w:hAnsi="Times New Roman"/>
          <w:b/>
        </w:rPr>
        <w:t>DANIEL MANGABEIRA DA VINHA</w:t>
      </w:r>
      <w:r>
        <w:rPr>
          <w:rFonts w:ascii="Times New Roman" w:hAnsi="Times New Roman"/>
        </w:rPr>
        <w:t xml:space="preserve"> propôs que a suspensão de atendimento ao público na modalidade presencial seja prorrogada até o dia 31 de agosto de 2020. O Plenário do CAU/DF </w:t>
      </w:r>
      <w:r>
        <w:rPr>
          <w:rFonts w:ascii="Times New Roman" w:hAnsi="Times New Roman"/>
          <w:b/>
        </w:rPr>
        <w:t>deliberou</w:t>
      </w:r>
      <w:r>
        <w:rPr>
          <w:rFonts w:ascii="Times New Roman" w:hAnsi="Times New Roman"/>
        </w:rPr>
        <w:t xml:space="preserve"> por </w:t>
      </w:r>
      <w:r>
        <w:rPr>
          <w:rFonts w:ascii="Times New Roman" w:hAnsi="Times New Roman"/>
          <w:highlight w:val="white"/>
        </w:rPr>
        <w:t xml:space="preserve">prorrogar a suspensão do atendimento ao Público na modalidade presencial até o dia 31 de agosto de 2020; determinar que os atendimentos ao público sejam feitos, preferencialmente, via </w:t>
      </w:r>
      <w:r>
        <w:rPr>
          <w:rFonts w:ascii="Times New Roman" w:hAnsi="Times New Roman"/>
          <w:i/>
          <w:highlight w:val="white"/>
        </w:rPr>
        <w:t>e-mails</w:t>
      </w:r>
      <w:r>
        <w:rPr>
          <w:rFonts w:ascii="Times New Roman" w:hAnsi="Times New Roman"/>
          <w:highlight w:val="white"/>
        </w:rPr>
        <w:t xml:space="preserve"> ou telefone; fechar as dependências do CAU/DF para o público em geral, sem qualquer exceção; prorrogar o regime de trabalho remoto ou teletrabalho, de modo preferencial, a todos os empregados, terceirizados e estagiários lotados na Sede do CAU/DF, até o dia 31 de agosto de 2020 e manutenção da realização das reuniões oficiais do CAU/DF por videoconferência, até o dia 31 de dezembro de 2020, </w:t>
      </w:r>
      <w:r>
        <w:rPr>
          <w:rFonts w:ascii="Times New Roman" w:hAnsi="Times New Roman"/>
        </w:rPr>
        <w:t xml:space="preserve">com </w:t>
      </w:r>
      <w:r>
        <w:rPr>
          <w:rFonts w:ascii="Times New Roman" w:hAnsi="Times New Roman"/>
          <w:b/>
          <w:highlight w:val="white"/>
        </w:rPr>
        <w:t>10 votos favoráveis</w:t>
      </w:r>
      <w:r>
        <w:rPr>
          <w:rFonts w:ascii="Times New Roman" w:hAnsi="Times New Roman"/>
          <w:highlight w:val="white"/>
        </w:rPr>
        <w:t xml:space="preserve"> dos conselheiros: André Bello, Antônio Menezes Júnior, Daniel Szwec dos Santos Fernandes, Gabriela de Souza Tenorio, Giselle Moll Mascarenhas, João Gilberto de Carvalho Accioly, Luciana Jobim Navarro, Mônica Andréa Blanco, Pedro de Almeida Grilo e Rogério Markiewicz; </w:t>
      </w:r>
      <w:r>
        <w:rPr>
          <w:rFonts w:ascii="Times New Roman" w:hAnsi="Times New Roman"/>
          <w:b/>
          <w:highlight w:val="white"/>
        </w:rPr>
        <w:t>00</w:t>
      </w:r>
      <w:r>
        <w:rPr>
          <w:rFonts w:ascii="Times New Roman" w:hAnsi="Times New Roman"/>
          <w:highlight w:val="white"/>
        </w:rPr>
        <w:t xml:space="preserve"> ausência; </w:t>
      </w:r>
      <w:r>
        <w:rPr>
          <w:rFonts w:ascii="Times New Roman" w:hAnsi="Times New Roman"/>
          <w:b/>
          <w:highlight w:val="white"/>
        </w:rPr>
        <w:t>00</w:t>
      </w:r>
      <w:r>
        <w:rPr>
          <w:rFonts w:ascii="Times New Roman" w:hAnsi="Times New Roman"/>
          <w:highlight w:val="white"/>
        </w:rPr>
        <w:t xml:space="preserve"> voto contrário e </w:t>
      </w:r>
      <w:r>
        <w:rPr>
          <w:rFonts w:ascii="Times New Roman" w:hAnsi="Times New Roman"/>
          <w:b/>
          <w:highlight w:val="white"/>
        </w:rPr>
        <w:t>00</w:t>
      </w:r>
      <w:r>
        <w:rPr>
          <w:rFonts w:ascii="Times New Roman" w:hAnsi="Times New Roman"/>
          <w:highlight w:val="white"/>
        </w:rPr>
        <w:t xml:space="preserve"> abstenção. </w:t>
      </w:r>
      <w:r>
        <w:rPr>
          <w:rFonts w:ascii="Times New Roman" w:hAnsi="Times New Roman"/>
          <w:b/>
          <w:highlight w:val="white"/>
          <w:u w:val="single"/>
        </w:rPr>
        <w:t>7. Nova Sede:</w:t>
      </w:r>
      <w:r>
        <w:rPr>
          <w:rFonts w:ascii="Times New Roman" w:hAnsi="Times New Roman"/>
          <w:highlight w:val="white"/>
        </w:rPr>
        <w:t xml:space="preserve"> O presidente </w:t>
      </w:r>
      <w:r>
        <w:rPr>
          <w:rFonts w:ascii="Times New Roman" w:hAnsi="Times New Roman"/>
          <w:b/>
          <w:highlight w:val="white"/>
        </w:rPr>
        <w:t>DANIEL MANGABEIRA DA VINHA</w:t>
      </w:r>
      <w:r>
        <w:rPr>
          <w:rFonts w:ascii="Times New Roman" w:hAnsi="Times New Roman"/>
          <w:highlight w:val="white"/>
        </w:rPr>
        <w:t xml:space="preserve"> relatou que no dia 9 de julho de 2020 foi realizada a Tomada de Preço para a reforma da Nova Sede do CAU/DF, que teve a empresa Engiex Engenharia e Construtora Eireli como vencedora do certame. Informou que a Assessora Técnica Katianne Marry Ferreira Barbosa solicitou à construtora a assinatura de uma Declaração de Ciência de Escopo e a Declaração de Aceitação dos Termos do Edital. Afirmou que está aguardando a autorização formal da Secretaria de Patrimônio da União (SPU) para realizar a assinatura do contrato de prestação de serviço e dar continuidade à obra de reforma. </w:t>
      </w:r>
      <w:r>
        <w:rPr>
          <w:rFonts w:ascii="Times New Roman" w:hAnsi="Times New Roman"/>
          <w:b/>
          <w:highlight w:val="white"/>
          <w:u w:val="single"/>
        </w:rPr>
        <w:t>8. Relato de Processos:</w:t>
      </w:r>
      <w:r>
        <w:rPr>
          <w:rFonts w:ascii="Times New Roman" w:hAnsi="Times New Roman"/>
          <w:highlight w:val="white"/>
        </w:rPr>
        <w:t xml:space="preserve"> </w:t>
      </w:r>
      <w:r>
        <w:rPr>
          <w:rFonts w:ascii="Times New Roman" w:hAnsi="Times New Roman"/>
          <w:b/>
          <w:highlight w:val="white"/>
        </w:rPr>
        <w:t xml:space="preserve">Processo n.º </w:t>
      </w:r>
      <w:r>
        <w:rPr>
          <w:rFonts w:ascii="Times New Roman" w:hAnsi="Times New Roman"/>
          <w:b/>
          <w:color w:val="000000"/>
          <w:sz w:val="24"/>
          <w:highlight w:val="black"/>
        </w:rPr>
        <w:t>xxxxxxxxxxx</w:t>
      </w:r>
      <w:r>
        <w:rPr>
          <w:rFonts w:ascii="Times New Roman" w:hAnsi="Times New Roman"/>
          <w:highlight w:val="white"/>
        </w:rPr>
        <w:t>. Comissão de Ética e Disciplina.</w:t>
      </w:r>
      <w:r>
        <w:rPr>
          <w:rFonts w:ascii="Times New Roman" w:hAnsi="Times New Roman"/>
          <w:b/>
          <w:highlight w:val="white"/>
        </w:rPr>
        <w:t xml:space="preserve"> Conselheiro relator: </w:t>
      </w:r>
      <w:r>
        <w:rPr>
          <w:rFonts w:ascii="Times New Roman" w:hAnsi="Times New Roman"/>
          <w:highlight w:val="white"/>
        </w:rPr>
        <w:t xml:space="preserve">Rogério Markiewicz. </w:t>
      </w:r>
      <w:r>
        <w:rPr>
          <w:rFonts w:ascii="Times New Roman" w:hAnsi="Times New Roman"/>
          <w:b/>
          <w:highlight w:val="white"/>
        </w:rPr>
        <w:t>Interessado:</w:t>
      </w:r>
      <w:r>
        <w:rPr>
          <w:rFonts w:ascii="Times New Roman" w:hAnsi="Times New Roman"/>
          <w:color w:val="000000"/>
          <w:highlight w:val="black"/>
        </w:rPr>
        <w:t xml:space="preserve"> </w:t>
      </w:r>
      <w:r>
        <w:rPr>
          <w:rFonts w:ascii="Times New Roman" w:hAnsi="Times New Roman"/>
          <w:color w:val="000000"/>
          <w:sz w:val="24"/>
          <w:highlight w:val="black"/>
        </w:rPr>
        <w:t>xxxxxxxxxxxxxxxxxx</w:t>
      </w:r>
      <w:r>
        <w:rPr>
          <w:rFonts w:ascii="Times New Roman" w:hAnsi="Times New Roman"/>
          <w:highlight w:val="white"/>
        </w:rPr>
        <w:t xml:space="preserve">. </w:t>
      </w:r>
      <w:r>
        <w:rPr>
          <w:rFonts w:ascii="Times New Roman" w:hAnsi="Times New Roman"/>
          <w:b/>
          <w:highlight w:val="white"/>
        </w:rPr>
        <w:t>Assunto:</w:t>
      </w:r>
      <w:r>
        <w:rPr>
          <w:rFonts w:ascii="Times New Roman" w:hAnsi="Times New Roman"/>
          <w:highlight w:val="white"/>
        </w:rPr>
        <w:t xml:space="preserve"> DENÚNCIA DE IRREGULARIDADES EM PROJETO E OBRA. O conselheiro </w:t>
      </w:r>
      <w:r>
        <w:rPr>
          <w:rFonts w:ascii="Times New Roman" w:hAnsi="Times New Roman"/>
          <w:b/>
          <w:highlight w:val="white"/>
        </w:rPr>
        <w:t xml:space="preserve">ROGÉRIO MARKIEWICZ </w:t>
      </w:r>
      <w:r>
        <w:rPr>
          <w:rFonts w:ascii="Times New Roman" w:hAnsi="Times New Roman"/>
          <w:highlight w:val="white"/>
        </w:rPr>
        <w:t xml:space="preserve">relatou que trata, o presente processo, de denúncia feita pela senhora </w:t>
      </w:r>
      <w:r>
        <w:rPr>
          <w:rFonts w:ascii="Times New Roman" w:hAnsi="Times New Roman"/>
          <w:color w:val="000000"/>
          <w:sz w:val="24"/>
          <w:highlight w:val="black"/>
        </w:rPr>
        <w:t>xxxxxxxxxxxxxxxxxxxxxx</w:t>
      </w:r>
      <w:r>
        <w:rPr>
          <w:rFonts w:ascii="Times New Roman" w:hAnsi="Times New Roman"/>
          <w:highlight w:val="white"/>
        </w:rPr>
        <w:t xml:space="preserve">, em desfavor da arquiteta e urbanista </w:t>
      </w:r>
      <w:r>
        <w:rPr>
          <w:rFonts w:ascii="Times New Roman" w:hAnsi="Times New Roman"/>
          <w:color w:val="000000"/>
          <w:sz w:val="24"/>
          <w:highlight w:val="black"/>
        </w:rPr>
        <w:t>xxxxxxxxxxxxxxxxxxxx</w:t>
      </w:r>
      <w:r>
        <w:rPr>
          <w:rFonts w:ascii="Times New Roman" w:hAnsi="Times New Roman"/>
          <w:highlight w:val="white"/>
        </w:rPr>
        <w:t xml:space="preserve">, por suposto cometimento de falta ético-disciplinar referente a supostas irregularidades em projeto e obra de reforma </w:t>
      </w:r>
      <w:r>
        <w:rPr>
          <w:rFonts w:ascii="Times New Roman" w:hAnsi="Times New Roman"/>
          <w:color w:val="000000"/>
          <w:sz w:val="24"/>
          <w:highlight w:val="black"/>
        </w:rPr>
        <w:t>xxxxxxxxxxxxxxxxxxxxxxxxxxxxxxxxxxxxxxxx</w:t>
      </w:r>
      <w:r>
        <w:rPr>
          <w:rFonts w:ascii="Times New Roman" w:hAnsi="Times New Roman"/>
          <w:highlight w:val="white"/>
        </w:rPr>
        <w:t xml:space="preserve">, em Brasília – DF, além de descumprimento contratual na prestação de serviços. Explicitou detalhadamente ao Plenário a sua análise do presente processo e VOTOU pela aplicação da penalidade de advertência pública, nos termos previstos no anexo da Resolução n.º 143, de 2017. Em ato contínuo, o presidente </w:t>
      </w:r>
      <w:r>
        <w:rPr>
          <w:rFonts w:ascii="Times New Roman" w:hAnsi="Times New Roman"/>
          <w:b/>
          <w:highlight w:val="white"/>
        </w:rPr>
        <w:t>DANIEL MANGABEIRA DA VINHA</w:t>
      </w:r>
      <w:r>
        <w:rPr>
          <w:rFonts w:ascii="Times New Roman" w:hAnsi="Times New Roman"/>
          <w:highlight w:val="white"/>
        </w:rPr>
        <w:t xml:space="preserve"> pôs em votação o relato e voto do conselheiro Rogério Markiewicz. Por unanimidade, foi </w:t>
      </w:r>
      <w:r>
        <w:rPr>
          <w:rFonts w:ascii="Times New Roman" w:hAnsi="Times New Roman"/>
          <w:b/>
          <w:highlight w:val="white"/>
        </w:rPr>
        <w:t>deliberada</w:t>
      </w:r>
      <w:r>
        <w:rPr>
          <w:rFonts w:ascii="Times New Roman" w:hAnsi="Times New Roman"/>
          <w:highlight w:val="white"/>
        </w:rPr>
        <w:t xml:space="preserve"> a aprovação do relato e voto do conselheiro relator pela aplicação penalidade de ADVERTÊNCIA PÚBLICA por cometimento de falta ética por parte da arquiteta e urbanista </w:t>
      </w:r>
      <w:r>
        <w:rPr>
          <w:rFonts w:ascii="Times New Roman" w:hAnsi="Times New Roman"/>
          <w:color w:val="000000"/>
          <w:sz w:val="24"/>
          <w:highlight w:val="black"/>
        </w:rPr>
        <w:t>xxxxxxxxxxxxxxxxxxxxxxxxx</w:t>
      </w:r>
      <w:r>
        <w:rPr>
          <w:rFonts w:ascii="Times New Roman" w:hAnsi="Times New Roman"/>
          <w:highlight w:val="white"/>
        </w:rPr>
        <w:t xml:space="preserve">, por ofensa ao item 5.2.10 do Código de Ética e Disciplina para Arquitetos e Urbanistas do CAU/BR, com </w:t>
      </w:r>
      <w:r>
        <w:rPr>
          <w:rFonts w:ascii="Times New Roman" w:hAnsi="Times New Roman"/>
          <w:b/>
          <w:highlight w:val="white"/>
        </w:rPr>
        <w:t>10 votos favoráveis</w:t>
      </w:r>
      <w:r>
        <w:rPr>
          <w:rFonts w:ascii="Times New Roman" w:hAnsi="Times New Roman"/>
          <w:highlight w:val="white"/>
        </w:rPr>
        <w:t xml:space="preserve"> dos conselheiros: André Bello, Antônio Menezes Júnior, Daniel Szwec dos Santos Fernandes, Gabriela de Souza Tenorio, Giselle Moll Mascarenhas, João Gilberto de Carvalho Accioly, Luciana Jobim Navarro, Mônica Andréa Blanco, Pedro de Almeida Grilo e Rogério Markiewicz; </w:t>
      </w:r>
      <w:r>
        <w:rPr>
          <w:rFonts w:ascii="Times New Roman" w:hAnsi="Times New Roman"/>
          <w:b/>
          <w:highlight w:val="white"/>
        </w:rPr>
        <w:t>00</w:t>
      </w:r>
      <w:r>
        <w:rPr>
          <w:rFonts w:ascii="Times New Roman" w:hAnsi="Times New Roman"/>
          <w:highlight w:val="white"/>
        </w:rPr>
        <w:t xml:space="preserve"> ausência; </w:t>
      </w:r>
      <w:r>
        <w:rPr>
          <w:rFonts w:ascii="Times New Roman" w:hAnsi="Times New Roman"/>
          <w:b/>
          <w:highlight w:val="white"/>
        </w:rPr>
        <w:t>00</w:t>
      </w:r>
      <w:r>
        <w:rPr>
          <w:rFonts w:ascii="Times New Roman" w:hAnsi="Times New Roman"/>
          <w:highlight w:val="white"/>
        </w:rPr>
        <w:t xml:space="preserve"> voto contrário e </w:t>
      </w:r>
      <w:r>
        <w:rPr>
          <w:rFonts w:ascii="Times New Roman" w:hAnsi="Times New Roman"/>
          <w:b/>
          <w:highlight w:val="white"/>
        </w:rPr>
        <w:t>00</w:t>
      </w:r>
      <w:r>
        <w:rPr>
          <w:rFonts w:ascii="Times New Roman" w:hAnsi="Times New Roman"/>
          <w:highlight w:val="white"/>
        </w:rPr>
        <w:t xml:space="preserve"> abstenção. </w:t>
      </w:r>
      <w:r>
        <w:rPr>
          <w:rFonts w:ascii="Times New Roman" w:hAnsi="Times New Roman"/>
          <w:b/>
          <w:highlight w:val="white"/>
        </w:rPr>
        <w:t xml:space="preserve">Processo n.º </w:t>
      </w:r>
      <w:r>
        <w:rPr>
          <w:rFonts w:ascii="Times New Roman" w:hAnsi="Times New Roman"/>
          <w:b/>
          <w:color w:val="000000"/>
          <w:sz w:val="24"/>
          <w:highlight w:val="black"/>
        </w:rPr>
        <w:t>xxxxxxxxxxx</w:t>
      </w:r>
      <w:r>
        <w:rPr>
          <w:rFonts w:ascii="Times New Roman" w:hAnsi="Times New Roman"/>
          <w:highlight w:val="white"/>
        </w:rPr>
        <w:t>. Comissão de Ética e Disciplina.</w:t>
      </w:r>
      <w:r>
        <w:rPr>
          <w:rFonts w:ascii="Times New Roman" w:hAnsi="Times New Roman"/>
          <w:b/>
          <w:highlight w:val="white"/>
        </w:rPr>
        <w:t xml:space="preserve"> Conselheira relatora: </w:t>
      </w:r>
      <w:r>
        <w:rPr>
          <w:rFonts w:ascii="Times New Roman" w:hAnsi="Times New Roman"/>
          <w:highlight w:val="white"/>
        </w:rPr>
        <w:t xml:space="preserve">Giselle Moll Mascarenhas. </w:t>
      </w:r>
      <w:r>
        <w:rPr>
          <w:rFonts w:ascii="Times New Roman" w:hAnsi="Times New Roman"/>
          <w:b/>
          <w:highlight w:val="white"/>
        </w:rPr>
        <w:t>Interessado:</w:t>
      </w:r>
      <w:r>
        <w:rPr>
          <w:rFonts w:ascii="Times New Roman" w:hAnsi="Times New Roman"/>
          <w:highlight w:val="white"/>
        </w:rPr>
        <w:t xml:space="preserve"> </w:t>
      </w:r>
      <w:r>
        <w:rPr>
          <w:rFonts w:ascii="Times New Roman" w:hAnsi="Times New Roman"/>
          <w:color w:val="000000"/>
          <w:sz w:val="24"/>
          <w:highlight w:val="black"/>
        </w:rPr>
        <w:t>xxxxxxxxxxxxxxx</w:t>
      </w:r>
      <w:r>
        <w:rPr>
          <w:rFonts w:ascii="Times New Roman" w:hAnsi="Times New Roman"/>
          <w:highlight w:val="white"/>
        </w:rPr>
        <w:t xml:space="preserve">. </w:t>
      </w:r>
      <w:r>
        <w:rPr>
          <w:rFonts w:ascii="Times New Roman" w:hAnsi="Times New Roman"/>
          <w:b/>
          <w:highlight w:val="white"/>
        </w:rPr>
        <w:t>Assunto:</w:t>
      </w:r>
      <w:r>
        <w:rPr>
          <w:rFonts w:ascii="Times New Roman" w:hAnsi="Times New Roman"/>
          <w:highlight w:val="white"/>
        </w:rPr>
        <w:t xml:space="preserve"> DENÚNCIA DE IRREGULARIDADES EM PROJETO DE REFORMA. A conselheira </w:t>
      </w:r>
      <w:r>
        <w:rPr>
          <w:rFonts w:ascii="Times New Roman" w:hAnsi="Times New Roman"/>
          <w:b/>
          <w:highlight w:val="white"/>
        </w:rPr>
        <w:t xml:space="preserve">GISELLE MOLL MASCARENHAS </w:t>
      </w:r>
      <w:r>
        <w:rPr>
          <w:rFonts w:ascii="Times New Roman" w:hAnsi="Times New Roman"/>
          <w:highlight w:val="white"/>
        </w:rPr>
        <w:t xml:space="preserve">relatou que trata, o presente processo, e denúncia feita pela </w:t>
      </w:r>
      <w:r>
        <w:rPr>
          <w:rFonts w:ascii="Times New Roman" w:hAnsi="Times New Roman"/>
          <w:color w:val="000000"/>
          <w:sz w:val="24"/>
          <w:highlight w:val="black"/>
        </w:rPr>
        <w:t>xxxxxxxxxxxxxxxxxxxx</w:t>
      </w:r>
      <w:r>
        <w:rPr>
          <w:rFonts w:ascii="Times New Roman" w:hAnsi="Times New Roman"/>
          <w:highlight w:val="white"/>
        </w:rPr>
        <w:t xml:space="preserve">, em desfavor da arquiteta e urbanista </w:t>
      </w:r>
      <w:r>
        <w:rPr>
          <w:rFonts w:ascii="Times New Roman" w:hAnsi="Times New Roman"/>
          <w:color w:val="000000"/>
          <w:sz w:val="24"/>
          <w:highlight w:val="black"/>
        </w:rPr>
        <w:t>xxxxxxxxxxxxxxxxxxxxxxx</w:t>
      </w:r>
      <w:r>
        <w:rPr>
          <w:rFonts w:ascii="Times New Roman" w:hAnsi="Times New Roman"/>
          <w:highlight w:val="white"/>
        </w:rPr>
        <w:t xml:space="preserve">, por suposto cometimento de falta ético-disciplinar referente a supostas irregularidades em projeto de reforma de edifício </w:t>
      </w:r>
      <w:r>
        <w:rPr>
          <w:rFonts w:ascii="Times New Roman" w:hAnsi="Times New Roman"/>
          <w:color w:val="000000"/>
          <w:sz w:val="24"/>
          <w:highlight w:val="black"/>
        </w:rPr>
        <w:t>xxxxxxxxxxxxxxxxxxxxxxxxxxxxxxxxxxxxxxxxxxxxxxxxxxxxxxxxxxxxxxxxxxxxxxx</w:t>
      </w:r>
      <w:r>
        <w:rPr>
          <w:rFonts w:ascii="Times New Roman" w:hAnsi="Times New Roman"/>
          <w:highlight w:val="white"/>
        </w:rPr>
        <w:t xml:space="preserve">, DF. Explicitou detalhadamente ao Plenário a sua análise do presente processo e VOTOU pela aplicação da penalidade de advertência reservada, bem como a multa de uma anuidade, considerada a dosimetria das infrações éticas estabelecidas. Em ato contínuo, o presidente </w:t>
      </w:r>
      <w:r>
        <w:rPr>
          <w:rFonts w:ascii="Times New Roman" w:hAnsi="Times New Roman"/>
          <w:b/>
          <w:highlight w:val="white"/>
        </w:rPr>
        <w:t>DANIEL MANGABEIRA DA VINHA</w:t>
      </w:r>
      <w:r>
        <w:rPr>
          <w:rFonts w:ascii="Times New Roman" w:hAnsi="Times New Roman"/>
          <w:highlight w:val="white"/>
        </w:rPr>
        <w:t xml:space="preserve"> pôs em votação o relato e voto da conselheira Giselle Moll Mascarenhas. Por unanimidade, foi </w:t>
      </w:r>
      <w:r>
        <w:rPr>
          <w:rFonts w:ascii="Times New Roman" w:hAnsi="Times New Roman"/>
          <w:b/>
          <w:highlight w:val="white"/>
        </w:rPr>
        <w:t>deliberada</w:t>
      </w:r>
      <w:r>
        <w:rPr>
          <w:rFonts w:ascii="Times New Roman" w:hAnsi="Times New Roman"/>
          <w:highlight w:val="white"/>
        </w:rPr>
        <w:t xml:space="preserve"> a aprovação do relato e voto da conselheira relatora pela aplicação penalidade de ADVERTÊNCIA RESERVADA E MULTA no valor de 01 (uma) anuidade, por cometimento de falta ética por parte da arquiteta e urbanista </w:t>
      </w:r>
      <w:r>
        <w:rPr>
          <w:rFonts w:ascii="Times New Roman" w:hAnsi="Times New Roman"/>
          <w:color w:val="000000"/>
          <w:sz w:val="24"/>
          <w:highlight w:val="black"/>
        </w:rPr>
        <w:t>xxxxxxxxxxxxxxxxxxxxx</w:t>
      </w:r>
      <w:r>
        <w:rPr>
          <w:rFonts w:ascii="Times New Roman" w:hAnsi="Times New Roman"/>
          <w:highlight w:val="white"/>
        </w:rPr>
        <w:t xml:space="preserve">, por ofensa ao artigo 18, IX da Lei 12.378/2010, combinado com os itens 1.2.3, 3.2.2 e 3.2.7 do Código de Ética e Disciplina para Arquitetos e Urbanistas do CAU/BR, com </w:t>
      </w:r>
      <w:r>
        <w:rPr>
          <w:rFonts w:ascii="Times New Roman" w:hAnsi="Times New Roman"/>
          <w:b/>
          <w:highlight w:val="white"/>
        </w:rPr>
        <w:t>09 votos favoráveis</w:t>
      </w:r>
      <w:r>
        <w:rPr>
          <w:rFonts w:ascii="Times New Roman" w:hAnsi="Times New Roman"/>
          <w:highlight w:val="white"/>
        </w:rPr>
        <w:t xml:space="preserve"> dos conselheiros: André Bello, Antônio Menezes Júnior, Daniel Szwec dos Santos Fernandes, Gabriela de Souza Tenorio, Giselle Moll Mascarenhas, João Gilberto de Carvalho Accioly, Luciana Jobim Navarro, Pedro de Almeida Grilo e Rogério Markiewicz; </w:t>
      </w:r>
      <w:r>
        <w:rPr>
          <w:rFonts w:ascii="Times New Roman" w:hAnsi="Times New Roman"/>
          <w:b/>
          <w:highlight w:val="white"/>
        </w:rPr>
        <w:t>00</w:t>
      </w:r>
      <w:r>
        <w:rPr>
          <w:rFonts w:ascii="Times New Roman" w:hAnsi="Times New Roman"/>
          <w:highlight w:val="white"/>
        </w:rPr>
        <w:t xml:space="preserve"> ausência; </w:t>
      </w:r>
      <w:r>
        <w:rPr>
          <w:rFonts w:ascii="Times New Roman" w:hAnsi="Times New Roman"/>
          <w:b/>
          <w:highlight w:val="white"/>
        </w:rPr>
        <w:t>00</w:t>
      </w:r>
      <w:r>
        <w:rPr>
          <w:rFonts w:ascii="Times New Roman" w:hAnsi="Times New Roman"/>
          <w:highlight w:val="white"/>
        </w:rPr>
        <w:t xml:space="preserve"> voto contrário e </w:t>
      </w:r>
      <w:r>
        <w:rPr>
          <w:rFonts w:ascii="Times New Roman" w:hAnsi="Times New Roman"/>
          <w:b/>
          <w:highlight w:val="white"/>
        </w:rPr>
        <w:t>01</w:t>
      </w:r>
      <w:r>
        <w:rPr>
          <w:rFonts w:ascii="Times New Roman" w:hAnsi="Times New Roman"/>
          <w:highlight w:val="white"/>
        </w:rPr>
        <w:t xml:space="preserve"> abstenção da conselheira Mônica Andréa Blanco.</w:t>
      </w:r>
      <w:r>
        <w:rPr>
          <w:rFonts w:ascii="Times New Roman" w:hAnsi="Times New Roman"/>
          <w:b/>
          <w:highlight w:val="white"/>
        </w:rPr>
        <w:t xml:space="preserve"> </w:t>
      </w:r>
      <w:r>
        <w:rPr>
          <w:rFonts w:ascii="Times New Roman" w:hAnsi="Times New Roman"/>
          <w:b/>
          <w:highlight w:val="white"/>
          <w:u w:val="single"/>
        </w:rPr>
        <w:t>9. Apresentação de Comunicações: 9.1. Informes da Presidência:</w:t>
      </w:r>
      <w:r>
        <w:rPr>
          <w:rFonts w:ascii="Times New Roman" w:hAnsi="Times New Roman"/>
          <w:highlight w:val="white"/>
        </w:rPr>
        <w:t xml:space="preserve"> O presidente </w:t>
      </w:r>
      <w:r>
        <w:rPr>
          <w:rFonts w:ascii="Times New Roman" w:hAnsi="Times New Roman"/>
          <w:b/>
          <w:highlight w:val="white"/>
        </w:rPr>
        <w:t>DANIEL MANGABEIRA DA VINHA</w:t>
      </w:r>
      <w:r>
        <w:rPr>
          <w:rFonts w:ascii="Times New Roman" w:hAnsi="Times New Roman"/>
          <w:highlight w:val="white"/>
        </w:rPr>
        <w:t xml:space="preserve"> relatou que o Conselho Diretor do CAU/DF tratou sobre o período de inoperância dos sites do CAU e de todo o sistema SICCAU e reforçou a insatisfação geral dos CAU/UF com a conduta do CAU/BR em relação aos problemas técnicos mencionados. Comunicou que já foi assinado o termo de convênio de patrocínio para ações de Assistência Técnica em Habitação de Interesse Social (ATHIS) entre o CAU/DF e o Instituto de Arquitetos do Brasil - Departamento Distrito Federal (IAB/DF). Agradeceu à assessora de comunicação e imprensa, Andréa Silva Mota Lopes pelo empenho na publicidade dada às ações do CAU/DF que foram divulgadas neste mês pelos veículos de imprensa locais. Comunicou que a Comissão Eleitoral do CAU/BR retificou a lista de profissionais com registro ativo em cada CAU/UF e, consequentemente, a quantidade de vagas para conselheiros titulares para o Plenário do CAU/DF também foi corrigida. Ressaltou que se sente honrado em participar de um grupo de conselheiros coeso e harmonioso, sem briga de egos, e pediu que os valores como o respeito às diferenças, tolerância, alocentrismo e paciência sejam priorizados durante o período eleitoral. </w:t>
      </w:r>
      <w:r>
        <w:rPr>
          <w:rFonts w:ascii="Times New Roman" w:hAnsi="Times New Roman"/>
          <w:b/>
          <w:highlight w:val="white"/>
          <w:u w:val="single"/>
        </w:rPr>
        <w:t>9.2. Informes da Vice-Presidência:</w:t>
      </w:r>
      <w:r>
        <w:rPr>
          <w:rFonts w:ascii="Times New Roman" w:hAnsi="Times New Roman"/>
          <w:highlight w:val="white"/>
        </w:rPr>
        <w:t xml:space="preserve"> A vice-presidente </w:t>
      </w:r>
      <w:r>
        <w:rPr>
          <w:rFonts w:ascii="Times New Roman" w:hAnsi="Times New Roman"/>
          <w:b/>
          <w:highlight w:val="white"/>
        </w:rPr>
        <w:t>MÔNICA ANDRÉA BLANCO</w:t>
      </w:r>
      <w:r>
        <w:rPr>
          <w:rFonts w:ascii="Times New Roman" w:hAnsi="Times New Roman"/>
          <w:highlight w:val="white"/>
        </w:rPr>
        <w:t xml:space="preserve"> relatou que o Grupo de Trabalho de Planejamento Estratégico - GTPE-CAU/BR não conseguiu prosseguir com suas atividades no mês de julho. </w:t>
      </w:r>
      <w:r>
        <w:rPr>
          <w:rFonts w:ascii="Times New Roman" w:hAnsi="Times New Roman"/>
          <w:b/>
          <w:u w:val="single"/>
        </w:rPr>
        <w:t>9.3. Dos coordenadores de comissões permanentes: 13.3.1. Do coordenador da Comissão de Administração, Planejamento e Finanças - CAF-CAU/DF:</w:t>
      </w:r>
      <w:r>
        <w:rPr>
          <w:rFonts w:ascii="Times New Roman" w:hAnsi="Times New Roman"/>
        </w:rPr>
        <w:t xml:space="preserve"> O conselheiro </w:t>
      </w:r>
      <w:r>
        <w:rPr>
          <w:rFonts w:ascii="Times New Roman" w:hAnsi="Times New Roman"/>
          <w:b/>
        </w:rPr>
        <w:t>JOÃO GILBERTO DE CARVALHO ACCIOLY</w:t>
      </w:r>
      <w:r>
        <w:rPr>
          <w:rFonts w:ascii="Times New Roman" w:hAnsi="Times New Roman"/>
        </w:rPr>
        <w:t xml:space="preserve"> relatou que a comissão irá se reunir extraordinariamente neste mês para apreciar e deliberar sobre a Reprogramação Orçamentária 2020. Informou que a queda na arrecadação do Conselho durante a pandemia do novo coronavírus está sendo menor do que foi previsto para este período. Comunicou que será realizado um diagnóstico detalhado sobre a arrecadação do CAU/DF. </w:t>
      </w:r>
      <w:r>
        <w:rPr>
          <w:rFonts w:ascii="Times New Roman" w:hAnsi="Times New Roman"/>
          <w:b/>
          <w:u w:val="single"/>
        </w:rPr>
        <w:t>9.3.2.</w:t>
      </w:r>
      <w:r>
        <w:rPr>
          <w:rFonts w:ascii="Times New Roman" w:hAnsi="Times New Roman"/>
          <w:u w:val="single"/>
        </w:rPr>
        <w:t xml:space="preserve"> </w:t>
      </w:r>
      <w:r>
        <w:rPr>
          <w:rFonts w:ascii="Times New Roman" w:hAnsi="Times New Roman"/>
          <w:b/>
          <w:u w:val="single"/>
        </w:rPr>
        <w:t>Do coordenador da Comissão de Ética e Disciplina - CED-CAU/DF:</w:t>
      </w:r>
      <w:r>
        <w:rPr>
          <w:rFonts w:ascii="Times New Roman" w:hAnsi="Times New Roman"/>
        </w:rPr>
        <w:t xml:space="preserve"> O conselheiro </w:t>
      </w:r>
      <w:r>
        <w:rPr>
          <w:rFonts w:ascii="Times New Roman" w:hAnsi="Times New Roman"/>
          <w:b/>
        </w:rPr>
        <w:t>ANTÔNIO MENEZES JÚNIOR</w:t>
      </w:r>
      <w:r>
        <w:rPr>
          <w:rFonts w:ascii="Times New Roman" w:hAnsi="Times New Roman"/>
        </w:rPr>
        <w:t xml:space="preserve"> relatou que a comissão deu continuidade aos seus trâmites ordinários, com duas reuniões mensais.  </w:t>
      </w:r>
      <w:r>
        <w:rPr>
          <w:rFonts w:ascii="Times New Roman" w:hAnsi="Times New Roman"/>
          <w:b/>
          <w:u w:val="single"/>
        </w:rPr>
        <w:t>9.3.3. Da coordenadora da Comissão de Ensino e Formação - CEF-CAU/DF:</w:t>
      </w:r>
      <w:r>
        <w:rPr>
          <w:rFonts w:ascii="Times New Roman" w:hAnsi="Times New Roman"/>
        </w:rPr>
        <w:t xml:space="preserve"> A conselheira </w:t>
      </w:r>
      <w:r>
        <w:rPr>
          <w:rFonts w:ascii="Times New Roman" w:hAnsi="Times New Roman"/>
          <w:b/>
        </w:rPr>
        <w:t>GABRIELA DE SOUZA TENORIO</w:t>
      </w:r>
      <w:r>
        <w:rPr>
          <w:rFonts w:ascii="Times New Roman" w:hAnsi="Times New Roman"/>
        </w:rPr>
        <w:t xml:space="preserve"> relatou que a comissão está realizando os preparativos finais para o lançamento da premiação para trabalhos de conclusão de curso e agradeceu à assessora de comunicação e imprensa Andréa Silva Mota Lopes pela criação da identidade visual do prêmio. Informou sobre o cronograma prévio e formas de participação.  </w:t>
      </w:r>
      <w:r>
        <w:rPr>
          <w:rFonts w:ascii="Times New Roman" w:hAnsi="Times New Roman"/>
          <w:b/>
          <w:u w:val="single"/>
        </w:rPr>
        <w:t>9.3.3. Do coordenador da Comissão de Exercício Profissional - CEP-CAU/DF:</w:t>
      </w:r>
      <w:r>
        <w:rPr>
          <w:rFonts w:ascii="Times New Roman" w:hAnsi="Times New Roman"/>
        </w:rPr>
        <w:t xml:space="preserve"> O conselheiro </w:t>
      </w:r>
      <w:r>
        <w:rPr>
          <w:rFonts w:ascii="Times New Roman" w:hAnsi="Times New Roman"/>
          <w:b/>
        </w:rPr>
        <w:t>ROGÉRIO MARKIEWICZ</w:t>
      </w:r>
      <w:r>
        <w:rPr>
          <w:rFonts w:ascii="Times New Roman" w:hAnsi="Times New Roman"/>
        </w:rPr>
        <w:t xml:space="preserve"> parabenizou o gerente de fiscalização Cristiano Ramalho e toda a equipe de fiscais do CAU/DF pelo trabalho de campo realizado durante este período de pandemia de Covid-19, cumprindo todos os protocolos de segurança sanitária. Informou que a comissão deve finalizar a minuta do Manual de Procedimento Operacional Padrão da área de fiscalização no próximo mês. Destacou que o CAU/DF realizou uma transmissão ao vivo no </w:t>
      </w:r>
      <w:r>
        <w:rPr>
          <w:rFonts w:ascii="Times New Roman" w:hAnsi="Times New Roman"/>
          <w:i/>
        </w:rPr>
        <w:t>Instagram</w:t>
      </w:r>
      <w:r>
        <w:rPr>
          <w:rFonts w:ascii="Times New Roman" w:hAnsi="Times New Roman"/>
        </w:rPr>
        <w:t xml:space="preserve"> esclarecendo dúvidas sobre RRT e serviços no dia 10 de julho de 2020. Os conselheiros parabenizaram o gerente de atendimento e fiscalização Cristiano Ramalho e a CEP-CAU/DF pela realização da transmissão ao vivo. </w:t>
      </w:r>
      <w:r>
        <w:rPr>
          <w:rFonts w:ascii="Times New Roman" w:hAnsi="Times New Roman"/>
          <w:b/>
          <w:u w:val="single"/>
        </w:rPr>
        <w:t>9.4. Dos coordenadores de comissões temporárias: 9.4.1 Da Comissão Temporária de Assistência Técnica e Política Urbana - CPUA-CAU/DF:</w:t>
      </w:r>
      <w:r>
        <w:rPr>
          <w:rFonts w:ascii="Times New Roman" w:hAnsi="Times New Roman"/>
        </w:rPr>
        <w:t xml:space="preserve"> O conselheiro </w:t>
      </w:r>
      <w:r>
        <w:rPr>
          <w:rFonts w:ascii="Times New Roman" w:hAnsi="Times New Roman"/>
          <w:b/>
        </w:rPr>
        <w:t>ANTÔNIO MENEZES JÚNIOR</w:t>
      </w:r>
      <w:r>
        <w:rPr>
          <w:rFonts w:ascii="Times New Roman" w:hAnsi="Times New Roman"/>
        </w:rPr>
        <w:t xml:space="preserve"> relatou que a comissão está trabalhando na estruturação de uma rede de assistência técnica em habitação de interesse social (ATHIS), com o apoio de diversas entidades. A conselheira </w:t>
      </w:r>
      <w:r>
        <w:rPr>
          <w:rFonts w:ascii="Times New Roman" w:hAnsi="Times New Roman"/>
          <w:b/>
        </w:rPr>
        <w:t>GABRIELA DE SOUZA TENORIO</w:t>
      </w:r>
      <w:r>
        <w:rPr>
          <w:rFonts w:ascii="Times New Roman" w:hAnsi="Times New Roman"/>
        </w:rPr>
        <w:t xml:space="preserve"> parabenizou a comissão pelo evento de lançamento da publicação “Cartilha de Orientações: Escritórios Populares de Arquitetura – Organizar, Empreender e Inovar”. </w:t>
      </w:r>
      <w:r>
        <w:rPr>
          <w:rFonts w:ascii="Times New Roman" w:hAnsi="Times New Roman"/>
          <w:b/>
          <w:highlight w:val="white"/>
          <w:u w:val="single"/>
        </w:rPr>
        <w:t>9.4.2. Da Comissão Temporária de Equidade de Gênero - CTEG-CAU/DF:</w:t>
      </w:r>
      <w:r>
        <w:rPr>
          <w:rFonts w:ascii="Times New Roman" w:hAnsi="Times New Roman"/>
          <w:highlight w:val="white"/>
        </w:rPr>
        <w:t xml:space="preserve"> A conselheira </w:t>
      </w:r>
      <w:r>
        <w:rPr>
          <w:rFonts w:ascii="Times New Roman" w:hAnsi="Times New Roman"/>
          <w:b/>
          <w:highlight w:val="white"/>
        </w:rPr>
        <w:t>LUCIANA JOBIM NAVARRO</w:t>
      </w:r>
      <w:r>
        <w:rPr>
          <w:rFonts w:ascii="Times New Roman" w:hAnsi="Times New Roman"/>
          <w:highlight w:val="white"/>
        </w:rPr>
        <w:t xml:space="preserve"> relatou que a comissão se reuniu ordinariamente neste mês e que planeja realizar um evento virtual no próximo mês, ainda a ser detalhado.</w:t>
      </w:r>
      <w:r>
        <w:rPr>
          <w:rFonts w:ascii="Times New Roman" w:hAnsi="Times New Roman"/>
        </w:rPr>
        <w:t xml:space="preserve"> </w:t>
      </w:r>
      <w:r>
        <w:rPr>
          <w:rFonts w:ascii="Times New Roman" w:hAnsi="Times New Roman"/>
          <w:b/>
          <w:highlight w:val="white"/>
          <w:u w:val="single"/>
        </w:rPr>
        <w:t>9.4.3. Da Comissão Temporária de Patrimônio - CTP-CAU/DF:</w:t>
      </w:r>
      <w:r>
        <w:rPr>
          <w:rFonts w:ascii="Times New Roman" w:hAnsi="Times New Roman"/>
          <w:highlight w:val="white"/>
        </w:rPr>
        <w:t xml:space="preserve"> O conselheiro </w:t>
      </w:r>
      <w:r>
        <w:rPr>
          <w:rFonts w:ascii="Times New Roman" w:hAnsi="Times New Roman"/>
          <w:b/>
          <w:highlight w:val="white"/>
        </w:rPr>
        <w:t xml:space="preserve">PEDRO DE ALMEIDA GRILO </w:t>
      </w:r>
      <w:r>
        <w:rPr>
          <w:rFonts w:ascii="Times New Roman" w:hAnsi="Times New Roman"/>
          <w:highlight w:val="white"/>
        </w:rPr>
        <w:t xml:space="preserve">relatou que a comissão está progredindo na realização das ações programadas e que lançará no próximo mês um selo que premiará edifícios bem preservados, pouco conhecidos popularmente. Informou que a iniciativa pretende valorizar estes edifícios, além de estimular boas práticas de conservação e manutenção predial. </w:t>
      </w:r>
      <w:r>
        <w:rPr>
          <w:rFonts w:ascii="Times New Roman" w:hAnsi="Times New Roman"/>
          <w:b/>
          <w:u w:val="single"/>
        </w:rPr>
        <w:t>9.4.4 Da Comissão Temporária Brasília 60 Anos: CTB-CAU/DF:</w:t>
      </w:r>
      <w:r>
        <w:rPr>
          <w:rFonts w:ascii="Times New Roman" w:hAnsi="Times New Roman"/>
        </w:rPr>
        <w:t xml:space="preserve"> O presidente </w:t>
      </w:r>
      <w:r>
        <w:rPr>
          <w:rFonts w:ascii="Times New Roman" w:hAnsi="Times New Roman"/>
          <w:b/>
        </w:rPr>
        <w:t>DANIEL MANGABEIRA DA VINHA</w:t>
      </w:r>
      <w:r>
        <w:rPr>
          <w:rFonts w:ascii="Times New Roman" w:hAnsi="Times New Roman"/>
        </w:rPr>
        <w:t xml:space="preserve"> informou que o 8º Encontro do CAU/DF acontecerá nos dias 24, 25, 26, e 27 de novembro de 2020 e será dividido em quatro temas: arquitetura de interiores, arquitetura popular, urbanismo e arquitetura.</w:t>
      </w:r>
      <w:r>
        <w:rPr>
          <w:rFonts w:ascii="Times New Roman" w:hAnsi="Times New Roman"/>
          <w:highlight w:val="white"/>
        </w:rPr>
        <w:t xml:space="preserve"> </w:t>
      </w:r>
      <w:r>
        <w:rPr>
          <w:rFonts w:ascii="Times New Roman" w:hAnsi="Times New Roman"/>
          <w:b/>
          <w:u w:val="single"/>
        </w:rPr>
        <w:t>9.5. Do conselheiro federal:</w:t>
      </w:r>
      <w:r>
        <w:rPr>
          <w:rFonts w:ascii="Times New Roman" w:hAnsi="Times New Roman"/>
        </w:rPr>
        <w:t xml:space="preserve"> O conselheiro </w:t>
      </w:r>
      <w:r>
        <w:rPr>
          <w:rFonts w:ascii="Times New Roman" w:hAnsi="Times New Roman"/>
          <w:b/>
        </w:rPr>
        <w:t>RAUL WANDERLEY GRADIM</w:t>
      </w:r>
      <w:r>
        <w:rPr>
          <w:rFonts w:ascii="Times New Roman" w:hAnsi="Times New Roman"/>
        </w:rPr>
        <w:t xml:space="preserve"> externou que não discorda das críticas feitas pelo Plenário do CAU/DF à conduta do CAU/BR perante os recentes problemas técnicos relatados nesta Sessão Plenária. Informou que o Comitê de Crise do CAU/BR se reuniu neste último mês e que estão sendo elaboradas alternativas e estratégias para dar continuidade aos s</w:t>
      </w:r>
      <w:bookmarkStart w:id="1" w:name="_GoBack"/>
      <w:bookmarkEnd w:id="1"/>
      <w:r>
        <w:rPr>
          <w:rFonts w:ascii="Times New Roman" w:hAnsi="Times New Roman"/>
        </w:rPr>
        <w:t xml:space="preserve">erviços do CAU em caso de pane do sistema SICCAU. Relatou que a Comissão Temporária de Harmonização do Exercício Profissional - CTHEP-CAU/BR tem avançado nos encaminhamentos para construção de agenda conjunta de entendimentos no sentido de harmonizar os normativos que afetem a atuação dos profissionais abrangidos pelo CAU e pelo Conselho Federal de Técnicos Industriais (CFT), em especial quanto à Resolução CFT n.º 058/2019. </w:t>
      </w:r>
      <w:r>
        <w:rPr>
          <w:rFonts w:ascii="Times New Roman" w:hAnsi="Times New Roman"/>
          <w:b/>
          <w:u w:val="single"/>
        </w:rPr>
        <w:t>9.6. Representação externa:</w:t>
      </w:r>
      <w:r>
        <w:rPr>
          <w:rFonts w:ascii="Times New Roman" w:hAnsi="Times New Roman"/>
        </w:rPr>
        <w:t xml:space="preserve"> </w:t>
      </w:r>
      <w:r>
        <w:rPr>
          <w:rFonts w:ascii="Times New Roman" w:hAnsi="Times New Roman"/>
          <w:b/>
          <w:u w:val="single"/>
        </w:rPr>
        <w:t>9.6.1 Do Conselho de Planejamento Territorial e Urbano do Distrito Federal (Conplan):</w:t>
      </w:r>
      <w:r>
        <w:rPr>
          <w:rFonts w:ascii="Times New Roman" w:hAnsi="Times New Roman"/>
        </w:rPr>
        <w:t xml:space="preserve"> O conselheiro </w:t>
      </w:r>
      <w:r>
        <w:rPr>
          <w:rFonts w:ascii="Times New Roman" w:hAnsi="Times New Roman"/>
          <w:b/>
        </w:rPr>
        <w:t>PEDRO DE ALMEIDA GRILO</w:t>
      </w:r>
      <w:r>
        <w:rPr>
          <w:rFonts w:ascii="Times New Roman" w:hAnsi="Times New Roman"/>
        </w:rPr>
        <w:t xml:space="preserve"> relatou que o Conplan deliberou sobre processos ordinários, sem nenhum destaque relevante. </w:t>
      </w:r>
      <w:r>
        <w:rPr>
          <w:rFonts w:ascii="Times New Roman" w:hAnsi="Times New Roman"/>
          <w:b/>
          <w:u w:val="single"/>
        </w:rPr>
        <w:t>10. Encerramento:</w:t>
      </w:r>
      <w:r>
        <w:rPr>
          <w:rFonts w:ascii="Times New Roman" w:hAnsi="Times New Roman"/>
        </w:rPr>
        <w:t xml:space="preserve"> O presidente </w:t>
      </w:r>
      <w:r>
        <w:rPr>
          <w:rFonts w:ascii="Times New Roman" w:hAnsi="Times New Roman"/>
          <w:b/>
        </w:rPr>
        <w:t>DANIEL MANGABEIRA DA VINHA</w:t>
      </w:r>
      <w:r>
        <w:rPr>
          <w:rFonts w:ascii="Times New Roman" w:hAnsi="Times New Roman"/>
        </w:rPr>
        <w:t xml:space="preserve"> agradeceu a presença de todos. Após considerações finais e nada havendo mais a tratar, encerrou a 103ª Plenária Ordinária do CAU/DF, da qual se lavrou a presente ata. </w:t>
      </w:r>
    </w:p>
    <w:p>
      <w:pPr>
        <w:pStyle w:val="LOnormal"/>
        <w:tabs>
          <w:tab w:val="clear" w:pos="720"/>
          <w:tab w:val="left" w:pos="309" w:leader="none"/>
          <w:tab w:val="right" w:pos="9354" w:leader="none"/>
        </w:tabs>
        <w:spacing w:lineRule="auto" w:line="384"/>
        <w:rPr>
          <w:rFonts w:ascii="Times New Roman" w:hAnsi="Times New Roman"/>
          <w:u w:val="single"/>
        </w:rPr>
      </w:pPr>
      <w:r>
        <w:rPr>
          <w:rFonts w:ascii="Times New Roman" w:hAnsi="Times New Roman"/>
          <w:u w:val="single"/>
        </w:rPr>
      </w:r>
    </w:p>
    <w:p>
      <w:pPr>
        <w:pStyle w:val="LOnormal"/>
        <w:tabs>
          <w:tab w:val="clear" w:pos="720"/>
          <w:tab w:val="left" w:pos="309" w:leader="none"/>
          <w:tab w:val="right" w:pos="9354" w:leader="none"/>
        </w:tabs>
        <w:spacing w:lineRule="auto" w:line="384"/>
        <w:rPr>
          <w:rFonts w:ascii="Times New Roman" w:hAnsi="Times New Roman"/>
          <w:u w:val="single"/>
        </w:rPr>
      </w:pPr>
      <w:r>
        <w:rPr>
          <w:rFonts w:ascii="Times New Roman" w:hAnsi="Times New Roman"/>
          <w:u w:val="single"/>
        </w:rPr>
      </w:r>
    </w:p>
    <w:p>
      <w:pPr>
        <w:pStyle w:val="LOnormal"/>
        <w:tabs>
          <w:tab w:val="clear" w:pos="720"/>
          <w:tab w:val="left" w:pos="309" w:leader="none"/>
          <w:tab w:val="right" w:pos="9354" w:leader="none"/>
        </w:tabs>
        <w:spacing w:lineRule="auto" w:line="384"/>
        <w:rPr>
          <w:rFonts w:ascii="Times New Roman" w:hAnsi="Times New Roman"/>
          <w:u w:val="single"/>
        </w:rPr>
      </w:pPr>
      <w:r>
        <w:rPr>
          <w:rFonts w:ascii="Times New Roman" w:hAnsi="Times New Roman"/>
          <w:u w:val="single"/>
        </w:rPr>
      </w:r>
    </w:p>
    <w:p>
      <w:pPr>
        <w:pStyle w:val="LOnormal"/>
        <w:tabs>
          <w:tab w:val="clear" w:pos="720"/>
          <w:tab w:val="left" w:pos="309" w:leader="none"/>
          <w:tab w:val="right" w:pos="9354" w:leader="none"/>
        </w:tabs>
        <w:spacing w:lineRule="auto" w:line="384"/>
        <w:jc w:val="center"/>
        <w:rPr>
          <w:b/>
          <w:b/>
        </w:rPr>
      </w:pPr>
      <w:r>
        <w:rPr>
          <w:rFonts w:ascii="Times New Roman" w:hAnsi="Times New Roman"/>
          <w:b/>
        </w:rPr>
        <w:t>DANIEL MANGABEIRA DA VINHA</w:t>
      </w:r>
    </w:p>
    <w:p>
      <w:pPr>
        <w:pStyle w:val="LOnormal"/>
        <w:tabs>
          <w:tab w:val="clear" w:pos="720"/>
          <w:tab w:val="left" w:pos="309" w:leader="none"/>
          <w:tab w:val="right" w:pos="9354" w:leader="none"/>
        </w:tabs>
        <w:spacing w:lineRule="auto" w:line="384"/>
        <w:jc w:val="center"/>
        <w:rPr>
          <w:rFonts w:ascii="Times New Roman" w:hAnsi="Times New Roman"/>
        </w:rPr>
      </w:pPr>
      <w:r>
        <w:rPr>
          <w:rFonts w:ascii="Times New Roman" w:hAnsi="Times New Roman"/>
        </w:rPr>
        <w:t>Presidente do CAU/DF</w:t>
      </w:r>
    </w:p>
    <w:p>
      <w:pPr>
        <w:pStyle w:val="LOnormal"/>
        <w:tabs>
          <w:tab w:val="clear" w:pos="720"/>
          <w:tab w:val="left" w:pos="309" w:leader="none"/>
          <w:tab w:val="right" w:pos="9354" w:leader="none"/>
        </w:tabs>
        <w:spacing w:lineRule="auto" w:line="384"/>
        <w:jc w:val="center"/>
        <w:rPr>
          <w:rFonts w:ascii="Times New Roman" w:hAnsi="Times New Roman"/>
        </w:rPr>
      </w:pPr>
      <w:r>
        <w:rPr>
          <w:rFonts w:ascii="Times New Roman" w:hAnsi="Times New Roman"/>
        </w:rPr>
      </w:r>
    </w:p>
    <w:p>
      <w:pPr>
        <w:pStyle w:val="LOnormal"/>
        <w:tabs>
          <w:tab w:val="clear" w:pos="720"/>
          <w:tab w:val="left" w:pos="309" w:leader="none"/>
          <w:tab w:val="right" w:pos="9354" w:leader="none"/>
        </w:tabs>
        <w:spacing w:lineRule="auto" w:line="384"/>
        <w:jc w:val="center"/>
        <w:rPr>
          <w:rFonts w:ascii="Times New Roman" w:hAnsi="Times New Roman"/>
          <w:b/>
          <w:b/>
        </w:rPr>
      </w:pPr>
      <w:r>
        <w:rPr>
          <w:rFonts w:ascii="Times New Roman" w:hAnsi="Times New Roman"/>
          <w:b/>
        </w:rPr>
      </w:r>
    </w:p>
    <w:p>
      <w:pPr>
        <w:pStyle w:val="LOnormal"/>
        <w:tabs>
          <w:tab w:val="clear" w:pos="720"/>
          <w:tab w:val="left" w:pos="309" w:leader="none"/>
          <w:tab w:val="right" w:pos="9354" w:leader="none"/>
        </w:tabs>
        <w:spacing w:lineRule="auto" w:line="384"/>
        <w:jc w:val="center"/>
        <w:rPr>
          <w:rFonts w:ascii="Times New Roman" w:hAnsi="Times New Roman"/>
          <w:b/>
          <w:b/>
        </w:rPr>
      </w:pPr>
      <w:r>
        <w:rPr>
          <w:rFonts w:ascii="Times New Roman" w:hAnsi="Times New Roman"/>
          <w:b/>
        </w:rPr>
      </w:r>
    </w:p>
    <w:p>
      <w:pPr>
        <w:pStyle w:val="LOnormal"/>
        <w:tabs>
          <w:tab w:val="clear" w:pos="720"/>
          <w:tab w:val="left" w:pos="309" w:leader="none"/>
          <w:tab w:val="right" w:pos="9354" w:leader="none"/>
        </w:tabs>
        <w:spacing w:lineRule="auto" w:line="384"/>
        <w:jc w:val="center"/>
        <w:rPr>
          <w:b/>
          <w:b/>
        </w:rPr>
      </w:pPr>
      <w:r>
        <w:rPr>
          <w:rFonts w:ascii="Times New Roman" w:hAnsi="Times New Roman"/>
          <w:b/>
        </w:rPr>
        <w:t>FLÁVIO SOARES OLIVEIRA</w:t>
      </w:r>
    </w:p>
    <w:p>
      <w:pPr>
        <w:pStyle w:val="LOnormal"/>
        <w:tabs>
          <w:tab w:val="clear" w:pos="720"/>
          <w:tab w:val="left" w:pos="309" w:leader="none"/>
          <w:tab w:val="right" w:pos="9354" w:leader="none"/>
        </w:tabs>
        <w:spacing w:lineRule="auto" w:line="384"/>
        <w:jc w:val="center"/>
        <w:rPr/>
      </w:pPr>
      <w:r>
        <w:rPr>
          <w:rFonts w:ascii="Times New Roman" w:hAnsi="Times New Roman"/>
        </w:rPr>
        <w:t>Gerente Geral do CAU/DF</w:t>
      </w:r>
    </w:p>
    <w:sectPr>
      <w:headerReference w:type="default" r:id="rId2"/>
      <w:footerReference w:type="default" r:id="rId3"/>
      <w:type w:val="nextPage"/>
      <w:pgSz w:w="11906" w:h="16838"/>
      <w:pgMar w:left="1700" w:right="1133" w:header="0" w:top="1700" w:footer="0" w:bottom="1133" w:gutter="0"/>
      <w:lnNumType w:countBy="1" w:restart="continuous" w:distance="113"/>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Tahoma">
    <w:charset w:val="00"/>
    <w:family w:val="roman"/>
    <w:pitch w:val="variable"/>
  </w:font>
  <w:font w:name="Arial">
    <w:charset w:val="00"/>
    <w:family w:val="roman"/>
    <w:pitch w:val="variable"/>
  </w:font>
  <w:font w:name="Impact">
    <w:charset w:val="00"/>
    <w:family w:val="roman"/>
    <w:pitch w:val="variable"/>
  </w:font>
  <w:font w:name="Calibri Light">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Verdana">
    <w:charset w:val="00"/>
    <w:family w:val="roman"/>
    <w:pitch w:val="variable"/>
  </w:font>
  <w:font w:name="Cambria">
    <w:charset w:val="00"/>
    <w:family w:val="roman"/>
    <w:pitch w:val="variable"/>
  </w:font>
  <w:font w:name="Mang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ind w:left="-1701" w:right="-851" w:hanging="0"/>
      <w:jc w:val="center"/>
      <w:rPr/>
    </w:pPr>
    <w:r>
      <mc:AlternateContent>
        <mc:Choice Requires="wps">
          <w:drawing>
            <wp:anchor behindDoc="1" distT="0" distB="0" distL="0" distR="0" simplePos="0" locked="0" layoutInCell="1" allowOverlap="1" relativeHeight="8">
              <wp:simplePos x="0" y="0"/>
              <wp:positionH relativeFrom="column">
                <wp:posOffset>-90805</wp:posOffset>
              </wp:positionH>
              <wp:positionV relativeFrom="paragraph">
                <wp:posOffset>-130810</wp:posOffset>
              </wp:positionV>
              <wp:extent cx="5814695" cy="90170"/>
              <wp:effectExtent l="0" t="0" r="0" b="0"/>
              <wp:wrapSquare wrapText="bothSides"/>
              <wp:docPr id="1" name="Figura1"/>
              <a:graphic xmlns:a="http://schemas.openxmlformats.org/drawingml/2006/main">
                <a:graphicData uri="http://schemas.microsoft.com/office/word/2010/wordprocessingShape">
                  <wps:wsp>
                    <wps:cNvSpPr/>
                    <wps:spPr>
                      <a:xfrm flipH="1" rot="10800000">
                        <a:off x="0" y="0"/>
                        <a:ext cx="5814000" cy="89640"/>
                      </a:xfrm>
                      <a:custGeom>
                        <a:avLst/>
                        <a:gdLst/>
                        <a:ahLst/>
                        <a:rect l="l" t="t" r="r" b="b"/>
                        <a:pathLst>
                          <a:path w="21600" h="21600">
                            <a:moveTo>
                              <a:pt x="0" y="0"/>
                            </a:moveTo>
                            <a:lnTo>
                              <a:pt x="21600" y="21600"/>
                            </a:lnTo>
                          </a:path>
                        </a:pathLst>
                      </a:custGeom>
                      <a:noFill/>
                      <a:ln cap="sq" w="19080">
                        <a:solidFill>
                          <a:srgbClr val="1c3942"/>
                        </a:solidFill>
                        <a:miter/>
                      </a:ln>
                    </wps:spPr>
                    <wps:style>
                      <a:lnRef idx="0"/>
                      <a:fillRef idx="0"/>
                      <a:effectRef idx="0"/>
                      <a:fontRef idx="minor"/>
                    </wps:style>
                    <wps:bodyPr/>
                  </wps:wsp>
                </a:graphicData>
              </a:graphic>
            </wp:anchor>
          </w:drawing>
        </mc:Choice>
        <mc:Fallback>
          <w:pict/>
        </mc:Fallback>
      </mc:AlternateContent>
    </w:r>
    <w:r>
      <w:rPr>
        <w:color w:val="1C3942"/>
        <w:sz w:val="20"/>
        <w:szCs w:val="20"/>
      </w:rPr>
      <w:t xml:space="preserve">Página </w:t>
    </w:r>
    <w:r>
      <w:rPr/>
      <w:fldChar w:fldCharType="begin"/>
    </w:r>
    <w:r>
      <w:rPr/>
      <w:instrText> PAGE </w:instrText>
    </w:r>
    <w:r>
      <w:rPr/>
      <w:fldChar w:fldCharType="separate"/>
    </w:r>
    <w:r>
      <w:rPr/>
      <w:t>7</w:t>
    </w:r>
    <w:r>
      <w:rPr/>
      <w:fldChar w:fldCharType="end"/>
    </w:r>
    <w:r>
      <w:rPr>
        <w:color w:val="1C3942"/>
        <w:sz w:val="20"/>
        <w:szCs w:val="20"/>
      </w:rPr>
      <w:t xml:space="preserve"> de </w:t>
    </w:r>
    <w:r>
      <w:rPr/>
      <w:fldChar w:fldCharType="begin"/>
    </w:r>
    <w:r>
      <w:rPr/>
      <w:instrText> NUMPAGES </w:instrText>
    </w:r>
    <w:r>
      <w:rPr/>
      <w:fldChar w:fldCharType="separate"/>
    </w:r>
    <w:r>
      <w:rPr/>
      <w:t>7</w:t>
    </w:r>
    <w:r>
      <w:rPr/>
      <w:fldChar w:fldCharType="end"/>
    </w:r>
  </w:p>
  <w:p>
    <w:pPr>
      <w:pStyle w:val="LOnormal"/>
      <w:ind w:left="-1701" w:right="-851" w:hanging="0"/>
      <w:jc w:val="center"/>
      <w:rPr>
        <w:color w:val="1C3942"/>
        <w:sz w:val="20"/>
        <w:szCs w:val="20"/>
      </w:rPr>
    </w:pPr>
    <w:r>
      <w:rPr>
        <w:color w:val="1C3942"/>
        <w:sz w:val="20"/>
        <w:szCs w:val="20"/>
      </w:rPr>
    </w:r>
  </w:p>
  <w:p>
    <w:pPr>
      <w:pStyle w:val="LOnormal"/>
      <w:ind w:left="-1701" w:right="-7" w:firstLine="1701"/>
      <w:jc w:val="center"/>
      <w:rPr>
        <w:color w:val="1C3942"/>
        <w:sz w:val="20"/>
        <w:szCs w:val="20"/>
      </w:rPr>
    </w:pPr>
    <w:r>
      <w:rPr>
        <w:color w:val="1C3942"/>
        <w:sz w:val="20"/>
        <w:szCs w:val="20"/>
      </w:rPr>
      <w:t xml:space="preserve">SEPS 705/905, Bloco “A”, Salas 401 a 406, Centro Empresarial Santa Cruz - CEP 70.390-055 - Brasília (DF) </w:t>
    </w:r>
  </w:p>
  <w:p>
    <w:pPr>
      <w:pStyle w:val="LOnormal"/>
      <w:ind w:left="-1701" w:right="-7" w:firstLine="1701"/>
      <w:jc w:val="center"/>
      <w:rPr>
        <w:color w:val="1C3942"/>
        <w:sz w:val="20"/>
        <w:szCs w:val="20"/>
      </w:rPr>
    </w:pPr>
    <w:r>
      <w:rPr>
        <w:color w:val="1C3942"/>
        <w:sz w:val="20"/>
        <w:szCs w:val="20"/>
      </w:rPr>
      <w:t>(61) 3222-5176/3222-5179 | www.caudf.gov.br | atendimento@caudf.gov.br</w:t>
    </w:r>
  </w:p>
  <w:p>
    <w:pPr>
      <w:pStyle w:val="LOnormal"/>
      <w:tabs>
        <w:tab w:val="clear" w:pos="720"/>
        <w:tab w:val="left" w:pos="897" w:leader="none"/>
        <w:tab w:val="center" w:pos="4107" w:leader="none"/>
      </w:tabs>
      <w:ind w:left="-1701" w:right="-851" w:hanging="0"/>
      <w:jc w:val="center"/>
      <w:rPr>
        <w:color w:val="1C3942"/>
        <w:sz w:val="20"/>
        <w:szCs w:val="20"/>
      </w:rPr>
    </w:pPr>
    <w:r>
      <w:rPr>
        <w:color w:val="1C3942"/>
        <w:sz w:val="20"/>
        <w:szCs w:val="20"/>
      </w:rPr>
    </w:r>
  </w:p>
  <w:p>
    <w:pPr>
      <w:pStyle w:val="LOnormal"/>
      <w:rPr>
        <w:color w:val="1C3942"/>
        <w:sz w:val="20"/>
        <w:szCs w:val="20"/>
      </w:rPr>
    </w:pPr>
    <w:r>
      <w:rPr>
        <w:color w:val="1C3942"/>
        <w:sz w:val="20"/>
        <w:szCs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ind w:left="-1701" w:right="-851" w:hanging="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ind w:right="-851" w:hanging="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tabs>
        <w:tab w:val="clear" w:pos="720"/>
        <w:tab w:val="left" w:pos="6068" w:leader="none"/>
      </w:tabs>
      <w:ind w:left="-1701" w:right="140" w:hanging="0"/>
      <w:jc w:val="center"/>
      <w:rPr>
        <w:rFonts w:ascii="Times New Roman" w:hAnsi="Times New Roman" w:eastAsia="Times New Roman" w:cs="Times New Roman"/>
        <w:color w:val="000000"/>
        <w:sz w:val="21"/>
        <w:szCs w:val="21"/>
      </w:rPr>
    </w:pPr>
    <w:r>
      <w:rPr>
        <w:rFonts w:eastAsia="Times New Roman" w:cs="Times New Roman" w:ascii="Times New Roman" w:hAnsi="Times New Roman"/>
        <w:color w:val="000000"/>
      </w:rPr>
      <w:t xml:space="preserve">                    </w:t>
    </w:r>
    <w:r>
      <w:rPr/>
      <w:object>
        <v:shape id="ole_rId1" style="width:453pt;height:42.6pt" o:ole="">
          <v:imagedata r:id="rId2" o:title=""/>
        </v:shape>
        <o:OLEObject Type="Embed" ProgID="" ShapeID="ole_rId1" DrawAspect="Content" ObjectID="_999971142" r:id="rId1"/>
      </w:object>
    </w:r>
  </w:p>
  <w:p>
    <w:pPr>
      <w:pStyle w:val="LOnormal"/>
      <w:numPr>
        <w:ilvl w:val="3"/>
        <w:numId w:val="1"/>
      </w:numPr>
      <w:tabs>
        <w:tab w:val="clear" w:pos="720"/>
        <w:tab w:val="center" w:pos="-142" w:leader="none"/>
      </w:tabs>
      <w:spacing w:lineRule="auto" w:line="360"/>
      <w:ind w:left="-709" w:right="-569" w:hanging="0"/>
      <w:jc w:val="center"/>
      <w:rPr>
        <w:b/>
        <w:b/>
        <w:color w:val="000000"/>
        <w:sz w:val="22"/>
        <w:szCs w:val="22"/>
      </w:rPr>
    </w:pPr>
    <w:r>
      <w:rPr>
        <w:rFonts w:ascii="Times New Roman" w:hAnsi="Times New Roman"/>
        <w:b/>
        <w:color w:val="000000"/>
        <w:sz w:val="22"/>
        <w:szCs w:val="22"/>
      </w:rPr>
      <w:br/>
      <w:t>ATA DA 10</w:t>
    </w:r>
    <w:r>
      <w:rPr>
        <w:rFonts w:ascii="Times New Roman" w:hAnsi="Times New Roman"/>
        <w:b/>
        <w:sz w:val="22"/>
        <w:szCs w:val="22"/>
      </w:rPr>
      <w:t>3</w:t>
    </w:r>
    <w:r>
      <w:rPr>
        <w:rFonts w:ascii="Times New Roman" w:hAnsi="Times New Roman"/>
        <w:b/>
        <w:color w:val="000000"/>
        <w:sz w:val="22"/>
        <w:szCs w:val="22"/>
      </w:rPr>
      <w:t xml:space="preserve">ª REUNIÃO PLENÁRIA ORDINÁRIA, REALIZADA EM </w:t>
    </w:r>
    <w:r>
      <w:rPr>
        <w:rFonts w:ascii="Times New Roman" w:hAnsi="Times New Roman"/>
        <w:b/>
        <w:sz w:val="22"/>
        <w:szCs w:val="22"/>
      </w:rPr>
      <w:t>27</w:t>
    </w:r>
    <w:r>
      <w:rPr>
        <w:rFonts w:ascii="Times New Roman" w:hAnsi="Times New Roman"/>
        <w:b/>
        <w:color w:val="000000"/>
        <w:sz w:val="22"/>
        <w:szCs w:val="22"/>
      </w:rPr>
      <w:t xml:space="preserve"> DE </w:t>
    </w:r>
    <w:r>
      <w:rPr>
        <w:rFonts w:ascii="Times New Roman" w:hAnsi="Times New Roman"/>
        <w:b/>
        <w:sz w:val="22"/>
        <w:szCs w:val="22"/>
      </w:rPr>
      <w:t>JULHO</w:t>
    </w:r>
    <w:r>
      <w:rPr>
        <w:rFonts w:ascii="Times New Roman" w:hAnsi="Times New Roman"/>
        <w:b/>
        <w:color w:val="000000"/>
        <w:sz w:val="22"/>
        <w:szCs w:val="22"/>
      </w:rPr>
      <w:t xml:space="preserve"> DE 2020.</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Lucida Sans"/>
        <w:szCs w:val="24"/>
        <w:lang w:val="pt-BR" w:eastAsia="zh-CN" w:bidi="hi-IN"/>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val="false"/>
      <w:suppressAutoHyphens w:val="true"/>
      <w:bidi w:val="0"/>
      <w:jc w:val="left"/>
    </w:pPr>
    <w:rPr>
      <w:rFonts w:ascii="Times New Roman" w:hAnsi="Times New Roman" w:eastAsia="Times New Roman" w:cs="Times New Roman"/>
      <w:color w:val="auto"/>
      <w:kern w:val="2"/>
      <w:sz w:val="24"/>
      <w:szCs w:val="20"/>
      <w:lang w:bidi="ar-SA" w:val="pt-BR" w:eastAsia="zh-CN"/>
    </w:rPr>
  </w:style>
  <w:style w:type="paragraph" w:styleId="Ttulo1">
    <w:name w:val="Heading 1"/>
    <w:basedOn w:val="LOnormal"/>
    <w:next w:val="LOnormal"/>
    <w:qFormat/>
    <w:pPr>
      <w:spacing w:before="480" w:after="120"/>
      <w:outlineLvl w:val="0"/>
    </w:pPr>
    <w:rPr>
      <w:b/>
      <w:color w:val="345A8A"/>
      <w:sz w:val="32"/>
    </w:rPr>
  </w:style>
  <w:style w:type="paragraph" w:styleId="Ttulo2">
    <w:name w:val="Heading 2"/>
    <w:basedOn w:val="LOnormal"/>
    <w:next w:val="LOnormal"/>
    <w:qFormat/>
    <w:pPr>
      <w:spacing w:before="200" w:after="120"/>
      <w:outlineLvl w:val="1"/>
    </w:pPr>
    <w:rPr>
      <w:b/>
      <w:color w:val="4F81BD"/>
      <w:sz w:val="26"/>
    </w:rPr>
  </w:style>
  <w:style w:type="paragraph" w:styleId="Ttulo3">
    <w:name w:val="Heading 3"/>
    <w:basedOn w:val="LOnormal"/>
    <w:next w:val="LOnormal"/>
    <w:qFormat/>
    <w:pPr>
      <w:spacing w:before="200" w:after="120"/>
      <w:outlineLvl w:val="2"/>
    </w:pPr>
    <w:rPr>
      <w:b/>
      <w:color w:val="4F81BD"/>
    </w:rPr>
  </w:style>
  <w:style w:type="paragraph" w:styleId="Ttulo4">
    <w:name w:val="Heading 4"/>
    <w:basedOn w:val="LOnormal"/>
    <w:next w:val="LOnormal"/>
    <w:qFormat/>
    <w:pPr>
      <w:keepNext w:val="true"/>
      <w:widowControl/>
      <w:spacing w:before="120" w:after="120"/>
      <w:jc w:val="center"/>
      <w:outlineLvl w:val="3"/>
    </w:pPr>
    <w:rPr>
      <w:rFonts w:ascii="Arial" w:hAnsi="Arial" w:cs="Arial"/>
      <w:b/>
      <w:sz w:val="22"/>
      <w:szCs w:val="22"/>
    </w:rPr>
  </w:style>
  <w:style w:type="paragraph" w:styleId="Ttulo5">
    <w:name w:val="Heading 5"/>
    <w:basedOn w:val="LOnormal"/>
    <w:next w:val="LOnormal"/>
    <w:qFormat/>
    <w:pPr>
      <w:keepNext w:val="true"/>
      <w:keepLines/>
      <w:spacing w:before="220" w:after="40"/>
      <w:outlineLvl w:val="4"/>
    </w:pPr>
    <w:rPr>
      <w:b/>
      <w:sz w:val="22"/>
      <w:szCs w:val="22"/>
    </w:rPr>
  </w:style>
  <w:style w:type="paragraph" w:styleId="Ttulo6">
    <w:name w:val="Heading 6"/>
    <w:basedOn w:val="LOnormal"/>
    <w:next w:val="LOnormal"/>
    <w:qFormat/>
    <w:pPr>
      <w:keepNext w:val="true"/>
      <w:keepLines/>
      <w:spacing w:before="200" w:after="40"/>
      <w:outlineLvl w:val="5"/>
    </w:pPr>
    <w:rPr>
      <w:b/>
      <w:sz w:val="20"/>
      <w:szCs w:val="20"/>
    </w:rPr>
  </w:style>
  <w:style w:type="paragraph" w:styleId="Ttulo8">
    <w:name w:val="Heading 8"/>
    <w:basedOn w:val="LOnormal"/>
    <w:next w:val="LOnormal"/>
    <w:qFormat/>
    <w:pPr>
      <w:widowControl/>
      <w:spacing w:before="240" w:after="60"/>
      <w:outlineLvl w:val="7"/>
    </w:pPr>
    <w:rPr>
      <w:rFonts w:ascii="Arial" w:hAnsi="Arial" w:cs="Arial"/>
      <w:i/>
      <w:iCs/>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Symbol" w:hAnsi="Symbol" w:cs="Symbol"/>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Fontepargpadro6" w:customStyle="1">
    <w:name w:val="Fonte parág. padrão6"/>
    <w:qFormat/>
    <w:rPr/>
  </w:style>
  <w:style w:type="character" w:styleId="Fontepargpadro5" w:customStyle="1">
    <w:name w:val="Fonte parág. padrão5"/>
    <w:qFormat/>
    <w:rPr/>
  </w:style>
  <w:style w:type="character" w:styleId="Fontepargpadro4" w:customStyle="1">
    <w:name w:val="Fonte parág. padrão4"/>
    <w:qFormat/>
    <w:rPr/>
  </w:style>
  <w:style w:type="character" w:styleId="WW8Num3z0" w:customStyle="1">
    <w:name w:val="WW8Num3z0"/>
    <w:qFormat/>
    <w:rPr>
      <w:rFonts w:ascii="Symbol" w:hAnsi="Symbol" w:cs="Symbol"/>
    </w:rPr>
  </w:style>
  <w:style w:type="character" w:styleId="WW8Num3z1" w:customStyle="1">
    <w:name w:val="WW8Num3z1"/>
    <w:qFormat/>
    <w:rPr>
      <w:rFonts w:ascii="Courier New" w:hAnsi="Courier New" w:cs="Courier New"/>
    </w:rPr>
  </w:style>
  <w:style w:type="character" w:styleId="WW8Num3z2" w:customStyle="1">
    <w:name w:val="WW8Num3z2"/>
    <w:qFormat/>
    <w:rPr>
      <w:rFonts w:ascii="Wingdings" w:hAnsi="Wingdings" w:cs="Wingdings"/>
    </w:rPr>
  </w:style>
  <w:style w:type="character" w:styleId="WW8Num4z0" w:customStyle="1">
    <w:name w:val="WW8Num4z0"/>
    <w:qFormat/>
    <w:rPr>
      <w:sz w:val="24"/>
      <w:szCs w:val="24"/>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WW8Num5z0" w:customStyle="1">
    <w:name w:val="WW8Num5z0"/>
    <w:qFormat/>
    <w:rPr>
      <w:rFonts w:ascii="Symbol" w:hAnsi="Symbol" w:cs="Symbol"/>
      <w:sz w:val="20"/>
    </w:rPr>
  </w:style>
  <w:style w:type="character" w:styleId="WW8Num5z1" w:customStyle="1">
    <w:name w:val="WW8Num5z1"/>
    <w:qFormat/>
    <w:rPr>
      <w:rFonts w:ascii="Courier New" w:hAnsi="Courier New" w:cs="Courier New"/>
      <w:sz w:val="20"/>
    </w:rPr>
  </w:style>
  <w:style w:type="character" w:styleId="WW8Num5z2" w:customStyle="1">
    <w:name w:val="WW8Num5z2"/>
    <w:qFormat/>
    <w:rPr>
      <w:rFonts w:ascii="Wingdings" w:hAnsi="Wingdings" w:cs="Wingdings"/>
      <w:sz w:val="20"/>
    </w:rPr>
  </w:style>
  <w:style w:type="character" w:styleId="WW8Num6z0" w:customStyle="1">
    <w:name w:val="WW8Num6z0"/>
    <w:qFormat/>
    <w:rPr>
      <w:b/>
    </w:rPr>
  </w:style>
  <w:style w:type="character" w:styleId="WW8Num6z1" w:customStyle="1">
    <w:name w:val="WW8Num6z1"/>
    <w:qFormat/>
    <w:rPr/>
  </w:style>
  <w:style w:type="character" w:styleId="WW8Num6z2" w:customStyle="1">
    <w:name w:val="WW8Num6z2"/>
    <w:qFormat/>
    <w:rPr/>
  </w:style>
  <w:style w:type="character" w:styleId="WW8Num6z3" w:customStyle="1">
    <w:name w:val="WW8Num6z3"/>
    <w:qFormat/>
    <w:rPr/>
  </w:style>
  <w:style w:type="character" w:styleId="WW8Num6z4" w:customStyle="1">
    <w:name w:val="WW8Num6z4"/>
    <w:qFormat/>
    <w:rPr/>
  </w:style>
  <w:style w:type="character" w:styleId="WW8Num6z5" w:customStyle="1">
    <w:name w:val="WW8Num6z5"/>
    <w:qFormat/>
    <w:rPr/>
  </w:style>
  <w:style w:type="character" w:styleId="WW8Num6z6" w:customStyle="1">
    <w:name w:val="WW8Num6z6"/>
    <w:qFormat/>
    <w:rPr/>
  </w:style>
  <w:style w:type="character" w:styleId="WW8Num6z7" w:customStyle="1">
    <w:name w:val="WW8Num6z7"/>
    <w:qFormat/>
    <w:rPr/>
  </w:style>
  <w:style w:type="character" w:styleId="WW8Num6z8" w:customStyle="1">
    <w:name w:val="WW8Num6z8"/>
    <w:qFormat/>
    <w:rPr/>
  </w:style>
  <w:style w:type="character" w:styleId="WW8Num7z0" w:customStyle="1">
    <w:name w:val="WW8Num7z0"/>
    <w:qFormat/>
    <w:rPr/>
  </w:style>
  <w:style w:type="character" w:styleId="WW8Num7z1" w:customStyle="1">
    <w:name w:val="WW8Num7z1"/>
    <w:qFormat/>
    <w:rPr/>
  </w:style>
  <w:style w:type="character" w:styleId="WW8Num7z2" w:customStyle="1">
    <w:name w:val="WW8Num7z2"/>
    <w:qFormat/>
    <w:rPr/>
  </w:style>
  <w:style w:type="character" w:styleId="WW8Num7z3" w:customStyle="1">
    <w:name w:val="WW8Num7z3"/>
    <w:qFormat/>
    <w:rPr/>
  </w:style>
  <w:style w:type="character" w:styleId="WW8Num7z4" w:customStyle="1">
    <w:name w:val="WW8Num7z4"/>
    <w:qFormat/>
    <w:rPr/>
  </w:style>
  <w:style w:type="character" w:styleId="WW8Num7z5" w:customStyle="1">
    <w:name w:val="WW8Num7z5"/>
    <w:qFormat/>
    <w:rPr/>
  </w:style>
  <w:style w:type="character" w:styleId="WW8Num7z6" w:customStyle="1">
    <w:name w:val="WW8Num7z6"/>
    <w:qFormat/>
    <w:rPr/>
  </w:style>
  <w:style w:type="character" w:styleId="WW8Num7z7" w:customStyle="1">
    <w:name w:val="WW8Num7z7"/>
    <w:qFormat/>
    <w:rPr/>
  </w:style>
  <w:style w:type="character" w:styleId="WW8Num7z8" w:customStyle="1">
    <w:name w:val="WW8Num7z8"/>
    <w:qFormat/>
    <w:rPr/>
  </w:style>
  <w:style w:type="character" w:styleId="WW8Num8z0" w:customStyle="1">
    <w:name w:val="WW8Num8z0"/>
    <w:qFormat/>
    <w:rPr>
      <w:rFonts w:ascii="Symbol" w:hAnsi="Symbol" w:cs="Symbol"/>
    </w:rPr>
  </w:style>
  <w:style w:type="character" w:styleId="WW8Num8z1" w:customStyle="1">
    <w:name w:val="WW8Num8z1"/>
    <w:qFormat/>
    <w:rPr>
      <w:rFonts w:ascii="Courier New" w:hAnsi="Courier New" w:cs="Courier New"/>
    </w:rPr>
  </w:style>
  <w:style w:type="character" w:styleId="WW8Num8z2" w:customStyle="1">
    <w:name w:val="WW8Num8z2"/>
    <w:qFormat/>
    <w:rPr>
      <w:rFonts w:ascii="Wingdings" w:hAnsi="Wingdings" w:cs="Wingdings"/>
    </w:rPr>
  </w:style>
  <w:style w:type="character" w:styleId="WW8Num9z0" w:customStyle="1">
    <w:name w:val="WW8Num9z0"/>
    <w:qFormat/>
    <w:rPr/>
  </w:style>
  <w:style w:type="character" w:styleId="WW8Num9z1" w:customStyle="1">
    <w:name w:val="WW8Num9z1"/>
    <w:qFormat/>
    <w:rPr/>
  </w:style>
  <w:style w:type="character" w:styleId="WW8Num9z2" w:customStyle="1">
    <w:name w:val="WW8Num9z2"/>
    <w:qFormat/>
    <w:rPr/>
  </w:style>
  <w:style w:type="character" w:styleId="WW8Num9z3" w:customStyle="1">
    <w:name w:val="WW8Num9z3"/>
    <w:qFormat/>
    <w:rPr/>
  </w:style>
  <w:style w:type="character" w:styleId="WW8Num9z4" w:customStyle="1">
    <w:name w:val="WW8Num9z4"/>
    <w:qFormat/>
    <w:rPr/>
  </w:style>
  <w:style w:type="character" w:styleId="WW8Num9z5" w:customStyle="1">
    <w:name w:val="WW8Num9z5"/>
    <w:qFormat/>
    <w:rPr/>
  </w:style>
  <w:style w:type="character" w:styleId="WW8Num9z6" w:customStyle="1">
    <w:name w:val="WW8Num9z6"/>
    <w:qFormat/>
    <w:rPr/>
  </w:style>
  <w:style w:type="character" w:styleId="WW8Num9z7" w:customStyle="1">
    <w:name w:val="WW8Num9z7"/>
    <w:qFormat/>
    <w:rPr/>
  </w:style>
  <w:style w:type="character" w:styleId="WW8Num9z8" w:customStyle="1">
    <w:name w:val="WW8Num9z8"/>
    <w:qFormat/>
    <w:rPr/>
  </w:style>
  <w:style w:type="character" w:styleId="WW8Num10z0" w:customStyle="1">
    <w:name w:val="WW8Num10z0"/>
    <w:qFormat/>
    <w:rPr>
      <w:b/>
      <w:color w:val="000000"/>
    </w:rPr>
  </w:style>
  <w:style w:type="character" w:styleId="WW8Num10z1" w:customStyle="1">
    <w:name w:val="WW8Num10z1"/>
    <w:qFormat/>
    <w:rPr/>
  </w:style>
  <w:style w:type="character" w:styleId="WW8Num10z2" w:customStyle="1">
    <w:name w:val="WW8Num10z2"/>
    <w:qFormat/>
    <w:rPr/>
  </w:style>
  <w:style w:type="character" w:styleId="WW8Num10z3" w:customStyle="1">
    <w:name w:val="WW8Num10z3"/>
    <w:qFormat/>
    <w:rPr/>
  </w:style>
  <w:style w:type="character" w:styleId="WW8Num10z4" w:customStyle="1">
    <w:name w:val="WW8Num10z4"/>
    <w:qFormat/>
    <w:rPr/>
  </w:style>
  <w:style w:type="character" w:styleId="WW8Num10z5" w:customStyle="1">
    <w:name w:val="WW8Num10z5"/>
    <w:qFormat/>
    <w:rPr/>
  </w:style>
  <w:style w:type="character" w:styleId="WW8Num10z6" w:customStyle="1">
    <w:name w:val="WW8Num10z6"/>
    <w:qFormat/>
    <w:rPr/>
  </w:style>
  <w:style w:type="character" w:styleId="WW8Num10z7" w:customStyle="1">
    <w:name w:val="WW8Num10z7"/>
    <w:qFormat/>
    <w:rPr/>
  </w:style>
  <w:style w:type="character" w:styleId="WW8Num10z8" w:customStyle="1">
    <w:name w:val="WW8Num10z8"/>
    <w:qFormat/>
    <w:rPr/>
  </w:style>
  <w:style w:type="character" w:styleId="WW8Num11z0" w:customStyle="1">
    <w:name w:val="WW8Num11z0"/>
    <w:qFormat/>
    <w:rPr>
      <w:rFonts w:ascii="Symbol" w:hAnsi="Symbol" w:cs="Symbol"/>
    </w:rPr>
  </w:style>
  <w:style w:type="character" w:styleId="WW8Num11z1" w:customStyle="1">
    <w:name w:val="WW8Num11z1"/>
    <w:qFormat/>
    <w:rPr>
      <w:rFonts w:ascii="Courier New" w:hAnsi="Courier New" w:cs="Courier New"/>
    </w:rPr>
  </w:style>
  <w:style w:type="character" w:styleId="WW8Num11z2" w:customStyle="1">
    <w:name w:val="WW8Num11z2"/>
    <w:qFormat/>
    <w:rPr>
      <w:rFonts w:ascii="Wingdings" w:hAnsi="Wingdings" w:cs="Wingdings"/>
    </w:rPr>
  </w:style>
  <w:style w:type="character" w:styleId="WW8Num12z0" w:customStyle="1">
    <w:name w:val="WW8Num12z0"/>
    <w:qFormat/>
    <w:rPr>
      <w:rFonts w:ascii="Symbol" w:hAnsi="Symbol" w:cs="Symbol"/>
    </w:rPr>
  </w:style>
  <w:style w:type="character" w:styleId="WW8Num12z1" w:customStyle="1">
    <w:name w:val="WW8Num12z1"/>
    <w:qFormat/>
    <w:rPr>
      <w:rFonts w:ascii="Courier New" w:hAnsi="Courier New" w:cs="Courier New"/>
    </w:rPr>
  </w:style>
  <w:style w:type="character" w:styleId="WW8Num12z2" w:customStyle="1">
    <w:name w:val="WW8Num12z2"/>
    <w:qFormat/>
    <w:rPr>
      <w:rFonts w:ascii="Wingdings" w:hAnsi="Wingdings" w:cs="Wingdings"/>
    </w:rPr>
  </w:style>
  <w:style w:type="character" w:styleId="Fontepargpadro3" w:customStyle="1">
    <w:name w:val="Fonte parág. padrão3"/>
    <w:qFormat/>
    <w:rPr/>
  </w:style>
  <w:style w:type="character" w:styleId="CabealhoChar" w:customStyle="1">
    <w:name w:val="Cabeçalho Char"/>
    <w:basedOn w:val="Fontepargpadro3"/>
    <w:qFormat/>
    <w:rPr/>
  </w:style>
  <w:style w:type="character" w:styleId="RodapChar" w:customStyle="1">
    <w:name w:val="Rodapé Char"/>
    <w:basedOn w:val="Fontepargpadro3"/>
    <w:qFormat/>
    <w:rPr/>
  </w:style>
  <w:style w:type="character" w:styleId="TextodebaloChar" w:customStyle="1">
    <w:name w:val="Texto de balão Char"/>
    <w:qFormat/>
    <w:rPr>
      <w:rFonts w:ascii="Tahoma" w:hAnsi="Tahoma" w:cs="Tahoma"/>
      <w:sz w:val="16"/>
      <w:szCs w:val="16"/>
    </w:rPr>
  </w:style>
  <w:style w:type="character" w:styleId="RecuodecorpodetextoChar" w:customStyle="1">
    <w:name w:val="Recuo de corpo de texto Char"/>
    <w:qFormat/>
    <w:rPr>
      <w:rFonts w:ascii="Times New Roman" w:hAnsi="Times New Roman" w:eastAsia="Times New Roman" w:cs="Times New Roman"/>
      <w:sz w:val="28"/>
    </w:rPr>
  </w:style>
  <w:style w:type="character" w:styleId="Ttulo1Char" w:customStyle="1">
    <w:name w:val="Título 1 Char"/>
    <w:qFormat/>
    <w:rPr>
      <w:rFonts w:ascii="Arial" w:hAnsi="Arial" w:eastAsia="Times New Roman" w:cs="Arial"/>
      <w:sz w:val="28"/>
      <w:szCs w:val="22"/>
      <w:shd w:fill="E5E5E5" w:val="clear"/>
    </w:rPr>
  </w:style>
  <w:style w:type="character" w:styleId="Ttulo2Char" w:customStyle="1">
    <w:name w:val="Título 2 Char"/>
    <w:qFormat/>
    <w:rPr>
      <w:rFonts w:ascii="Impact" w:hAnsi="Impact" w:eastAsia="Times New Roman" w:cs="Impact"/>
      <w:b/>
      <w:i/>
      <w:sz w:val="32"/>
      <w:szCs w:val="22"/>
    </w:rPr>
  </w:style>
  <w:style w:type="character" w:styleId="Ttulo4Char" w:customStyle="1">
    <w:name w:val="Título 4 Char"/>
    <w:qFormat/>
    <w:rPr>
      <w:rFonts w:ascii="Arial" w:hAnsi="Arial" w:eastAsia="Times New Roman" w:cs="Arial"/>
      <w:b/>
      <w:sz w:val="22"/>
      <w:szCs w:val="22"/>
    </w:rPr>
  </w:style>
  <w:style w:type="character" w:styleId="Ttulo8Char" w:customStyle="1">
    <w:name w:val="Título 8 Char"/>
    <w:qFormat/>
    <w:rPr>
      <w:rFonts w:ascii="Arial" w:hAnsi="Arial" w:eastAsia="Times New Roman" w:cs="Arial"/>
      <w:i/>
      <w:iCs/>
      <w:sz w:val="24"/>
      <w:szCs w:val="24"/>
    </w:rPr>
  </w:style>
  <w:style w:type="character" w:styleId="Numeraodelinhas" w:customStyle="1">
    <w:name w:val="Numeração de linhas"/>
    <w:basedOn w:val="Fontepargpadro3"/>
    <w:rPr/>
  </w:style>
  <w:style w:type="character" w:styleId="LinkdaInternet" w:customStyle="1">
    <w:name w:val="Link da Internet"/>
    <w:rPr>
      <w:color w:val="0000FF"/>
      <w:u w:val="single"/>
    </w:rPr>
  </w:style>
  <w:style w:type="character" w:styleId="Nfaseforte" w:customStyle="1">
    <w:name w:val="Ênfase forte"/>
    <w:qFormat/>
    <w:rPr>
      <w:b/>
      <w:bCs/>
    </w:rPr>
  </w:style>
  <w:style w:type="character" w:styleId="St" w:customStyle="1">
    <w:name w:val="st"/>
    <w:basedOn w:val="Fontepargpadro3"/>
    <w:qFormat/>
    <w:rPr/>
  </w:style>
  <w:style w:type="character" w:styleId="Appleconvertedspace" w:customStyle="1">
    <w:name w:val="apple-converted-space"/>
    <w:basedOn w:val="Fontepargpadro3"/>
    <w:qFormat/>
    <w:rPr/>
  </w:style>
  <w:style w:type="character" w:styleId="Ttulo3Char" w:customStyle="1">
    <w:name w:val="Título 3 Char"/>
    <w:qFormat/>
    <w:rPr>
      <w:rFonts w:ascii="Calibri Light" w:hAnsi="Calibri Light" w:eastAsia="Times New Roman" w:cs="Times New Roman"/>
      <w:b/>
      <w:bCs/>
      <w:color w:val="5B9BD5"/>
      <w:sz w:val="24"/>
    </w:rPr>
  </w:style>
  <w:style w:type="character" w:styleId="Nfase">
    <w:name w:val="Ênfase"/>
    <w:qFormat/>
    <w:rPr>
      <w:i/>
      <w:iCs/>
    </w:rPr>
  </w:style>
  <w:style w:type="character" w:styleId="Textojustificado" w:customStyle="1">
    <w:name w:val="textojustificado"/>
    <w:qFormat/>
    <w:rPr/>
  </w:style>
  <w:style w:type="character" w:styleId="Smbolosdenumerao" w:customStyle="1">
    <w:name w:val="Símbolos de numeração"/>
    <w:qFormat/>
    <w:rPr/>
  </w:style>
  <w:style w:type="character" w:styleId="Fontepargpadro1" w:customStyle="1">
    <w:name w:val="Fonte parág. padrão1"/>
    <w:qFormat/>
    <w:rPr/>
  </w:style>
  <w:style w:type="character" w:styleId="Fontepargpadro2" w:customStyle="1">
    <w:name w:val="Fonte parág. padrão2"/>
    <w:qFormat/>
    <w:rPr/>
  </w:style>
  <w:style w:type="character" w:styleId="Rphighlightallclass" w:customStyle="1">
    <w:name w:val="rphighlightallclass"/>
    <w:qFormat/>
    <w:rPr/>
  </w:style>
  <w:style w:type="character" w:styleId="Parag2Char" w:customStyle="1">
    <w:name w:val="parag2 Char"/>
    <w:qFormat/>
    <w:rPr>
      <w:sz w:val="24"/>
      <w:szCs w:val="24"/>
    </w:rPr>
  </w:style>
  <w:style w:type="character" w:styleId="Linkdainternetvisitado" w:customStyle="1">
    <w:name w:val="Link da internet visitado"/>
    <w:rPr>
      <w:color w:val="800080"/>
      <w:u w:val="single"/>
    </w:rPr>
  </w:style>
  <w:style w:type="character" w:styleId="E24kjd" w:customStyle="1">
    <w:name w:val="e24kjd"/>
    <w:qFormat/>
    <w:rPr/>
  </w:style>
  <w:style w:type="character" w:styleId="Linenumber">
    <w:name w:val="line number"/>
    <w:basedOn w:val="DefaultParagraphFont"/>
    <w:uiPriority w:val="99"/>
    <w:semiHidden/>
    <w:unhideWhenUsed/>
    <w:qFormat/>
    <w:rsid w:val="00bd2479"/>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LOnormal"/>
    <w:pPr>
      <w:spacing w:lineRule="auto" w:line="276" w:before="0" w:after="140"/>
    </w:pPr>
    <w:rPr/>
  </w:style>
  <w:style w:type="paragraph" w:styleId="Lista">
    <w:name w:val="List"/>
    <w:basedOn w:val="Corpodotexto"/>
    <w:pPr/>
    <w:rPr>
      <w:rFonts w:cs="Mangal"/>
    </w:rPr>
  </w:style>
  <w:style w:type="paragraph" w:styleId="Legenda">
    <w:name w:val="Caption"/>
    <w:basedOn w:val="Normal"/>
    <w:qFormat/>
    <w:pPr>
      <w:suppressLineNumbers/>
      <w:spacing w:before="120" w:after="120"/>
    </w:pPr>
    <w:rPr>
      <w:rFonts w:cs="Lucida Sans"/>
      <w:i/>
      <w:iCs/>
      <w:sz w:val="24"/>
      <w:szCs w:val="24"/>
    </w:rPr>
  </w:style>
  <w:style w:type="paragraph" w:styleId="Ndice" w:customStyle="1">
    <w:name w:val="Índice"/>
    <w:basedOn w:val="LOnormal"/>
    <w:qFormat/>
    <w:pPr>
      <w:suppressLineNumbers/>
    </w:pPr>
    <w:rPr>
      <w:rFonts w:cs="Mangal"/>
    </w:rPr>
  </w:style>
  <w:style w:type="paragraph" w:styleId="Ttulododocumento">
    <w:name w:val="Title"/>
    <w:basedOn w:val="LOnormal"/>
    <w:next w:val="Corpodotexto"/>
    <w:qFormat/>
    <w:pPr>
      <w:spacing w:before="240" w:after="300"/>
    </w:pPr>
    <w:rPr>
      <w:color w:val="17365D"/>
      <w:sz w:val="52"/>
    </w:rPr>
  </w:style>
  <w:style w:type="paragraph" w:styleId="Caption">
    <w:name w:val="caption"/>
    <w:basedOn w:val="LOnormal"/>
    <w:qFormat/>
    <w:pPr>
      <w:suppressLineNumbers/>
      <w:spacing w:before="120" w:after="120"/>
    </w:pPr>
    <w:rPr>
      <w:i/>
      <w:iCs/>
    </w:rPr>
  </w:style>
  <w:style w:type="paragraph" w:styleId="LOnormal" w:customStyle="1">
    <w:name w:val="LO-normal"/>
    <w:qFormat/>
    <w:pPr>
      <w:widowControl w:val="false"/>
      <w:bidi w:val="0"/>
      <w:jc w:val="left"/>
    </w:pPr>
    <w:rPr>
      <w:rFonts w:ascii="Calibri" w:hAnsi="Calibri" w:eastAsia="NSimSun" w:cs="Lucida Sans"/>
      <w:color w:val="auto"/>
      <w:kern w:val="0"/>
      <w:sz w:val="24"/>
      <w:szCs w:val="24"/>
      <w:lang w:val="pt-BR" w:eastAsia="zh-CN" w:bidi="hi-IN"/>
    </w:rPr>
  </w:style>
  <w:style w:type="paragraph" w:styleId="Ttulo61" w:customStyle="1">
    <w:name w:val="Título6"/>
    <w:basedOn w:val="LOnormal"/>
    <w:next w:val="Corpodotexto"/>
    <w:qFormat/>
    <w:pPr>
      <w:keepNext w:val="true"/>
      <w:spacing w:before="240" w:after="120"/>
    </w:pPr>
    <w:rPr>
      <w:rFonts w:ascii="Arial" w:hAnsi="Arial" w:eastAsia="Microsoft YaHei"/>
      <w:sz w:val="28"/>
      <w:szCs w:val="28"/>
    </w:rPr>
  </w:style>
  <w:style w:type="paragraph" w:styleId="Legenda3" w:customStyle="1">
    <w:name w:val="Legenda3"/>
    <w:basedOn w:val="LOnormal"/>
    <w:qFormat/>
    <w:pPr>
      <w:suppressLineNumbers/>
      <w:spacing w:before="120" w:after="120"/>
    </w:pPr>
    <w:rPr>
      <w:i/>
      <w:iCs/>
    </w:rPr>
  </w:style>
  <w:style w:type="paragraph" w:styleId="Ttulo51" w:customStyle="1">
    <w:name w:val="Título5"/>
    <w:basedOn w:val="LOnormal"/>
    <w:next w:val="Corpodotexto"/>
    <w:qFormat/>
    <w:pPr>
      <w:keepNext w:val="true"/>
      <w:spacing w:before="240" w:after="120"/>
    </w:pPr>
    <w:rPr>
      <w:rFonts w:ascii="Arial" w:hAnsi="Arial" w:eastAsia="Microsoft YaHei"/>
      <w:sz w:val="28"/>
      <w:szCs w:val="28"/>
    </w:rPr>
  </w:style>
  <w:style w:type="paragraph" w:styleId="Legenda2" w:customStyle="1">
    <w:name w:val="Legenda2"/>
    <w:basedOn w:val="LOnormal"/>
    <w:qFormat/>
    <w:pPr>
      <w:suppressLineNumbers/>
      <w:spacing w:before="120" w:after="120"/>
    </w:pPr>
    <w:rPr>
      <w:i/>
      <w:iCs/>
    </w:rPr>
  </w:style>
  <w:style w:type="paragraph" w:styleId="Ttulo41" w:customStyle="1">
    <w:name w:val="Título4"/>
    <w:basedOn w:val="LOnormal"/>
    <w:next w:val="Corpodotexto"/>
    <w:qFormat/>
    <w:pPr>
      <w:keepNext w:val="true"/>
      <w:spacing w:before="240" w:after="120"/>
    </w:pPr>
    <w:rPr>
      <w:rFonts w:ascii="Arial" w:hAnsi="Arial" w:eastAsia="Microsoft YaHei"/>
      <w:sz w:val="28"/>
      <w:szCs w:val="28"/>
    </w:rPr>
  </w:style>
  <w:style w:type="paragraph" w:styleId="Legenda1" w:customStyle="1">
    <w:name w:val="Legenda1"/>
    <w:basedOn w:val="LOnormal"/>
    <w:qFormat/>
    <w:pPr>
      <w:suppressLineNumbers/>
      <w:spacing w:before="120" w:after="120"/>
    </w:pPr>
    <w:rPr>
      <w:rFonts w:cs="Mangal"/>
      <w:i/>
      <w:iCs/>
    </w:rPr>
  </w:style>
  <w:style w:type="paragraph" w:styleId="Ttulo31" w:customStyle="1">
    <w:name w:val="Título3"/>
    <w:basedOn w:val="LOnormal"/>
    <w:next w:val="Corpodotexto"/>
    <w:qFormat/>
    <w:pPr>
      <w:keepNext w:val="true"/>
      <w:spacing w:before="240" w:after="120"/>
    </w:pPr>
    <w:rPr>
      <w:rFonts w:ascii="Liberation Sans;Arial" w:hAnsi="Liberation Sans;Arial" w:eastAsia="Microsoft YaHei" w:cs="Mangal"/>
      <w:sz w:val="28"/>
      <w:szCs w:val="28"/>
    </w:rPr>
  </w:style>
  <w:style w:type="paragraph" w:styleId="CabealhoeRodap" w:customStyle="1">
    <w:name w:val="Cabeçalho e Rodapé"/>
    <w:basedOn w:val="LOnormal"/>
    <w:qFormat/>
    <w:pPr>
      <w:suppressLineNumbers/>
      <w:tabs>
        <w:tab w:val="clear" w:pos="720"/>
        <w:tab w:val="center" w:pos="4819" w:leader="none"/>
        <w:tab w:val="right" w:pos="9638" w:leader="none"/>
      </w:tabs>
    </w:pPr>
    <w:rPr/>
  </w:style>
  <w:style w:type="paragraph" w:styleId="Cabealho">
    <w:name w:val="Header"/>
    <w:basedOn w:val="LOnormal"/>
    <w:pPr>
      <w:suppressLineNumbers/>
    </w:pPr>
    <w:rPr/>
  </w:style>
  <w:style w:type="paragraph" w:styleId="Rodap">
    <w:name w:val="Footer"/>
    <w:basedOn w:val="LOnormal"/>
    <w:pPr>
      <w:suppressLineNumbers/>
    </w:pPr>
    <w:rPr/>
  </w:style>
  <w:style w:type="paragraph" w:styleId="BalloonText">
    <w:name w:val="Balloon Text"/>
    <w:basedOn w:val="LOnormal"/>
    <w:qFormat/>
    <w:pPr/>
    <w:rPr>
      <w:rFonts w:ascii="Tahoma" w:hAnsi="Tahoma" w:eastAsia="Calibri" w:cs="Tahoma"/>
      <w:sz w:val="16"/>
      <w:szCs w:val="16"/>
    </w:rPr>
  </w:style>
  <w:style w:type="paragraph" w:styleId="Corpodotextorecuado">
    <w:name w:val="Body Text Indent"/>
    <w:basedOn w:val="LOnormal"/>
    <w:pPr>
      <w:widowControl/>
      <w:spacing w:lineRule="auto" w:line="360"/>
      <w:ind w:firstLine="1701"/>
      <w:jc w:val="both"/>
    </w:pPr>
    <w:rPr>
      <w:sz w:val="28"/>
    </w:rPr>
  </w:style>
  <w:style w:type="paragraph" w:styleId="Texto" w:customStyle="1">
    <w:name w:val="texto"/>
    <w:basedOn w:val="LOnormal"/>
    <w:qFormat/>
    <w:pPr>
      <w:widowControl/>
      <w:spacing w:before="280" w:after="280"/>
    </w:pPr>
    <w:rPr>
      <w:rFonts w:ascii="Verdana" w:hAnsi="Verdana" w:cs="Arial"/>
      <w:color w:val="515151"/>
      <w:sz w:val="11"/>
      <w:szCs w:val="11"/>
    </w:rPr>
  </w:style>
  <w:style w:type="paragraph" w:styleId="NormalWeb">
    <w:name w:val="Normal (Web)"/>
    <w:basedOn w:val="LOnormal"/>
    <w:qFormat/>
    <w:pPr>
      <w:widowControl/>
      <w:spacing w:before="280" w:after="280"/>
    </w:pPr>
    <w:rPr/>
  </w:style>
  <w:style w:type="paragraph" w:styleId="ListParagraph">
    <w:name w:val="List Paragraph"/>
    <w:basedOn w:val="LOnormal"/>
    <w:qFormat/>
    <w:pPr>
      <w:spacing w:before="0" w:after="0"/>
      <w:ind w:left="720" w:hanging="0"/>
      <w:contextualSpacing/>
    </w:pPr>
    <w:rPr/>
  </w:style>
  <w:style w:type="paragraph" w:styleId="NoSpacing">
    <w:name w:val="No Spacing"/>
    <w:qFormat/>
    <w:pPr>
      <w:widowControl/>
      <w:suppressAutoHyphens w:val="true"/>
      <w:bidi w:val="0"/>
      <w:jc w:val="left"/>
    </w:pPr>
    <w:rPr>
      <w:rFonts w:ascii="Cambria" w:hAnsi="Cambria" w:eastAsia="MS Mincho;ＭＳ 明朝" w:cs="Cambria"/>
      <w:color w:val="auto"/>
      <w:kern w:val="2"/>
      <w:sz w:val="24"/>
      <w:szCs w:val="24"/>
      <w:lang w:bidi="ar-SA" w:val="pt-BR" w:eastAsia="zh-CN"/>
    </w:rPr>
  </w:style>
  <w:style w:type="paragraph" w:styleId="WWPadro" w:customStyle="1">
    <w:name w:val="WW-Padrão"/>
    <w:qFormat/>
    <w:pPr>
      <w:widowControl/>
      <w:suppressAutoHyphens w:val="true"/>
      <w:bidi w:val="0"/>
      <w:spacing w:lineRule="atLeast" w:line="200"/>
      <w:jc w:val="left"/>
    </w:pPr>
    <w:rPr>
      <w:rFonts w:ascii="Mangal" w:hAnsi="Mangal" w:eastAsia="Tahoma" w:cs="Liberation Sans;Arial"/>
      <w:color w:val="000000"/>
      <w:kern w:val="2"/>
      <w:sz w:val="36"/>
      <w:szCs w:val="24"/>
      <w:lang w:val="pt-BR" w:eastAsia="zh-CN" w:bidi="hi-IN"/>
    </w:rPr>
  </w:style>
  <w:style w:type="paragraph" w:styleId="Objetocomseta" w:customStyle="1">
    <w:name w:val="Objeto com seta"/>
    <w:basedOn w:val="WWPadro"/>
    <w:qFormat/>
    <w:pPr/>
    <w:rPr>
      <w:rFonts w:cs="Mangal"/>
    </w:rPr>
  </w:style>
  <w:style w:type="paragraph" w:styleId="Objetocomsombra" w:customStyle="1">
    <w:name w:val="Objeto com sombra"/>
    <w:basedOn w:val="WWPadro"/>
    <w:qFormat/>
    <w:pPr/>
    <w:rPr>
      <w:rFonts w:cs="Mangal"/>
    </w:rPr>
  </w:style>
  <w:style w:type="paragraph" w:styleId="Objetosempreenchimento" w:customStyle="1">
    <w:name w:val="Objeto sem preenchimento"/>
    <w:basedOn w:val="WWPadro"/>
    <w:qFormat/>
    <w:pPr/>
    <w:rPr>
      <w:rFonts w:cs="Mangal"/>
    </w:rPr>
  </w:style>
  <w:style w:type="paragraph" w:styleId="Objetosempreenchimentonemlinha" w:customStyle="1">
    <w:name w:val="Objeto sem preenchimento nem linha"/>
    <w:basedOn w:val="WWPadro"/>
    <w:qFormat/>
    <w:pPr/>
    <w:rPr>
      <w:rFonts w:cs="Mangal"/>
    </w:rPr>
  </w:style>
  <w:style w:type="paragraph" w:styleId="WWCorpodotexto" w:customStyle="1">
    <w:name w:val="WW-Corpo do texto"/>
    <w:basedOn w:val="WWPadro"/>
    <w:qFormat/>
    <w:pPr/>
    <w:rPr>
      <w:rFonts w:cs="Mangal"/>
    </w:rPr>
  </w:style>
  <w:style w:type="paragraph" w:styleId="Corpodotextojustificado" w:customStyle="1">
    <w:name w:val="Corpo do texto justificado"/>
    <w:basedOn w:val="WWPadro"/>
    <w:qFormat/>
    <w:pPr/>
    <w:rPr>
      <w:rFonts w:cs="Mangal"/>
    </w:rPr>
  </w:style>
  <w:style w:type="paragraph" w:styleId="Primeirorecuodecorpodetexto1" w:customStyle="1">
    <w:name w:val="Primeiro recuo de corpo de texto1"/>
    <w:basedOn w:val="WWPadro"/>
    <w:qFormat/>
    <w:pPr>
      <w:ind w:firstLine="340"/>
    </w:pPr>
    <w:rPr>
      <w:rFonts w:cs="Mangal"/>
    </w:rPr>
  </w:style>
  <w:style w:type="paragraph" w:styleId="Ttulo11" w:customStyle="1">
    <w:name w:val="Título1"/>
    <w:basedOn w:val="WWPadro"/>
    <w:qFormat/>
    <w:pPr>
      <w:jc w:val="center"/>
    </w:pPr>
    <w:rPr>
      <w:rFonts w:cs="Mangal"/>
    </w:rPr>
  </w:style>
  <w:style w:type="paragraph" w:styleId="Ttulo21" w:customStyle="1">
    <w:name w:val="Título2"/>
    <w:basedOn w:val="WWPadro"/>
    <w:qFormat/>
    <w:pPr>
      <w:spacing w:before="57" w:after="57"/>
      <w:ind w:right="113" w:hanging="0"/>
      <w:jc w:val="center"/>
    </w:pPr>
    <w:rPr>
      <w:rFonts w:cs="Mangal"/>
    </w:rPr>
  </w:style>
  <w:style w:type="paragraph" w:styleId="Linhadecota" w:customStyle="1">
    <w:name w:val="Linha de cota"/>
    <w:basedOn w:val="WWPadro"/>
    <w:qFormat/>
    <w:pPr/>
    <w:rPr>
      <w:rFonts w:cs="Mangal"/>
    </w:rPr>
  </w:style>
  <w:style w:type="paragraph" w:styleId="SlidedettuloLTGliederung1" w:customStyle="1">
    <w:name w:val="Slide de título~LT~Gliederung 1"/>
    <w:qFormat/>
    <w:pPr>
      <w:widowControl/>
      <w:suppressAutoHyphens w:val="true"/>
      <w:bidi w:val="0"/>
      <w:spacing w:lineRule="auto" w:line="216" w:before="283" w:after="0"/>
      <w:jc w:val="left"/>
    </w:pPr>
    <w:rPr>
      <w:rFonts w:ascii="Mangal" w:hAnsi="Mangal" w:eastAsia="Tahoma" w:cs="Liberation Sans;Arial"/>
      <w:color w:val="000000"/>
      <w:kern w:val="2"/>
      <w:sz w:val="56"/>
      <w:szCs w:val="24"/>
      <w:lang w:val="pt-BR" w:eastAsia="zh-CN" w:bidi="hi-IN"/>
    </w:rPr>
  </w:style>
  <w:style w:type="paragraph" w:styleId="SlidedettuloLTGliederung2" w:customStyle="1">
    <w:name w:val="Slide de título~LT~Gliederung 2"/>
    <w:basedOn w:val="SlidedettuloLTGliederung1"/>
    <w:qFormat/>
    <w:pPr>
      <w:spacing w:before="227" w:after="0"/>
    </w:pPr>
    <w:rPr>
      <w:rFonts w:cs="Mangal"/>
      <w:sz w:val="40"/>
    </w:rPr>
  </w:style>
  <w:style w:type="paragraph" w:styleId="SlidedettuloLTGliederung3" w:customStyle="1">
    <w:name w:val="Slide de título~LT~Gliederung 3"/>
    <w:basedOn w:val="SlidedettuloLTGliederung2"/>
    <w:qFormat/>
    <w:pPr>
      <w:spacing w:before="170" w:after="0"/>
    </w:pPr>
    <w:rPr>
      <w:sz w:val="36"/>
    </w:rPr>
  </w:style>
  <w:style w:type="paragraph" w:styleId="SlidedettuloLTGliederung4" w:customStyle="1">
    <w:name w:val="Slide de título~LT~Gliederung 4"/>
    <w:basedOn w:val="SlidedettuloLTGliederung3"/>
    <w:qFormat/>
    <w:pPr>
      <w:spacing w:before="113" w:after="0"/>
    </w:pPr>
    <w:rPr/>
  </w:style>
  <w:style w:type="paragraph" w:styleId="SlidedettuloLTGliederung5" w:customStyle="1">
    <w:name w:val="Slide de título~LT~Gliederung 5"/>
    <w:basedOn w:val="SlidedettuloLTGliederung4"/>
    <w:qFormat/>
    <w:pPr>
      <w:spacing w:before="57" w:after="0"/>
    </w:pPr>
    <w:rPr>
      <w:sz w:val="40"/>
    </w:rPr>
  </w:style>
  <w:style w:type="paragraph" w:styleId="SlidedettuloLTGliederung6" w:customStyle="1">
    <w:name w:val="Slide de título~LT~Gliederung 6"/>
    <w:basedOn w:val="SlidedettuloLTGliederung5"/>
    <w:qFormat/>
    <w:pPr/>
    <w:rPr/>
  </w:style>
  <w:style w:type="paragraph" w:styleId="SlidedettuloLTGliederung7" w:customStyle="1">
    <w:name w:val="Slide de título~LT~Gliederung 7"/>
    <w:basedOn w:val="SlidedettuloLTGliederung6"/>
    <w:qFormat/>
    <w:pPr/>
    <w:rPr/>
  </w:style>
  <w:style w:type="paragraph" w:styleId="SlidedettuloLTGliederung8" w:customStyle="1">
    <w:name w:val="Slide de título~LT~Gliederung 8"/>
    <w:basedOn w:val="SlidedettuloLTGliederung7"/>
    <w:qFormat/>
    <w:pPr/>
    <w:rPr/>
  </w:style>
  <w:style w:type="paragraph" w:styleId="SlidedettuloLTGliederung9" w:customStyle="1">
    <w:name w:val="Slide de título~LT~Gliederung 9"/>
    <w:basedOn w:val="SlidedettuloLTGliederung8"/>
    <w:qFormat/>
    <w:pPr/>
    <w:rPr/>
  </w:style>
  <w:style w:type="paragraph" w:styleId="SlidedettuloLTTitel" w:customStyle="1">
    <w:name w:val="Slide de título~LT~Titel"/>
    <w:qFormat/>
    <w:pPr>
      <w:widowControl/>
      <w:suppressAutoHyphens w:val="true"/>
      <w:bidi w:val="0"/>
      <w:spacing w:lineRule="atLeast" w:line="200"/>
      <w:jc w:val="left"/>
    </w:pPr>
    <w:rPr>
      <w:rFonts w:ascii="Mangal" w:hAnsi="Mangal" w:eastAsia="Tahoma" w:cs="Liberation Sans;Arial"/>
      <w:color w:val="000000"/>
      <w:kern w:val="2"/>
      <w:sz w:val="36"/>
      <w:szCs w:val="24"/>
      <w:lang w:val="pt-BR" w:eastAsia="zh-CN" w:bidi="hi-IN"/>
    </w:rPr>
  </w:style>
  <w:style w:type="paragraph" w:styleId="SlidedettuloLTUntertitel" w:customStyle="1">
    <w:name w:val="Slide de título~LT~Untertitel"/>
    <w:qFormat/>
    <w:pPr>
      <w:widowControl/>
      <w:suppressAutoHyphens w:val="true"/>
      <w:bidi w:val="0"/>
      <w:jc w:val="center"/>
    </w:pPr>
    <w:rPr>
      <w:rFonts w:ascii="Mangal" w:hAnsi="Mangal" w:eastAsia="Tahoma" w:cs="Liberation Sans;Arial"/>
      <w:color w:val="000000"/>
      <w:kern w:val="2"/>
      <w:sz w:val="64"/>
      <w:szCs w:val="24"/>
      <w:lang w:val="pt-BR" w:eastAsia="zh-CN" w:bidi="hi-IN"/>
    </w:rPr>
  </w:style>
  <w:style w:type="paragraph" w:styleId="SlidedettuloLTNotizen" w:customStyle="1">
    <w:name w:val="Slide de título~LT~Notizen"/>
    <w:qFormat/>
    <w:pPr>
      <w:widowControl/>
      <w:suppressAutoHyphens w:val="true"/>
      <w:bidi w:val="0"/>
      <w:ind w:left="340" w:hanging="340"/>
      <w:jc w:val="left"/>
    </w:pPr>
    <w:rPr>
      <w:rFonts w:ascii="Mangal" w:hAnsi="Mangal" w:eastAsia="Tahoma" w:cs="Liberation Sans;Arial"/>
      <w:color w:val="000000"/>
      <w:kern w:val="2"/>
      <w:sz w:val="40"/>
      <w:szCs w:val="24"/>
      <w:lang w:val="pt-BR" w:eastAsia="zh-CN" w:bidi="hi-IN"/>
    </w:rPr>
  </w:style>
  <w:style w:type="paragraph" w:styleId="SlidedettuloLTHintergrundobjekte" w:customStyle="1">
    <w:name w:val="Slide de título~LT~Hintergrundobjekte"/>
    <w:qFormat/>
    <w:pPr>
      <w:widowControl/>
      <w:suppressAutoHyphens w:val="true"/>
      <w:bidi w:val="0"/>
      <w:jc w:val="left"/>
    </w:pPr>
    <w:rPr>
      <w:rFonts w:ascii="Liberation Serif;Times New Roma" w:hAnsi="Liberation Serif;Times New Roma" w:eastAsia="Tahoma" w:cs="Liberation Sans;Arial"/>
      <w:color w:val="auto"/>
      <w:kern w:val="2"/>
      <w:sz w:val="24"/>
      <w:szCs w:val="24"/>
      <w:lang w:val="pt-BR" w:eastAsia="zh-CN" w:bidi="hi-IN"/>
    </w:rPr>
  </w:style>
  <w:style w:type="paragraph" w:styleId="SlidedettuloLTHintergrund" w:customStyle="1">
    <w:name w:val="Slide de título~LT~Hintergrund"/>
    <w:qFormat/>
    <w:pPr>
      <w:widowControl/>
      <w:suppressAutoHyphens w:val="true"/>
      <w:bidi w:val="0"/>
      <w:jc w:val="left"/>
    </w:pPr>
    <w:rPr>
      <w:rFonts w:ascii="Liberation Serif;Times New Roma" w:hAnsi="Liberation Serif;Times New Roma" w:eastAsia="Tahoma" w:cs="Liberation Sans;Arial"/>
      <w:color w:val="auto"/>
      <w:kern w:val="2"/>
      <w:sz w:val="24"/>
      <w:szCs w:val="24"/>
      <w:lang w:val="pt-BR" w:eastAsia="zh-CN" w:bidi="hi-IN"/>
    </w:rPr>
  </w:style>
  <w:style w:type="paragraph" w:styleId="Default" w:customStyle="1">
    <w:name w:val="default"/>
    <w:qFormat/>
    <w:pPr>
      <w:widowControl/>
      <w:suppressAutoHyphens w:val="true"/>
      <w:bidi w:val="0"/>
      <w:spacing w:lineRule="atLeast" w:line="200"/>
      <w:jc w:val="left"/>
    </w:pPr>
    <w:rPr>
      <w:rFonts w:ascii="Mangal" w:hAnsi="Mangal" w:eastAsia="Tahoma" w:cs="Liberation Sans;Arial"/>
      <w:color w:val="000000"/>
      <w:kern w:val="2"/>
      <w:sz w:val="36"/>
      <w:szCs w:val="24"/>
      <w:lang w:val="pt-BR" w:eastAsia="zh-CN" w:bidi="hi-IN"/>
    </w:rPr>
  </w:style>
  <w:style w:type="paragraph" w:styleId="Gray1" w:customStyle="1">
    <w:name w:val="gray1"/>
    <w:basedOn w:val="Default"/>
    <w:qFormat/>
    <w:pPr/>
    <w:rPr>
      <w:rFonts w:cs="Mangal"/>
    </w:rPr>
  </w:style>
  <w:style w:type="paragraph" w:styleId="Gray2" w:customStyle="1">
    <w:name w:val="gray2"/>
    <w:basedOn w:val="Default"/>
    <w:qFormat/>
    <w:pPr/>
    <w:rPr>
      <w:rFonts w:cs="Mangal"/>
    </w:rPr>
  </w:style>
  <w:style w:type="paragraph" w:styleId="Gray3" w:customStyle="1">
    <w:name w:val="gray3"/>
    <w:basedOn w:val="Default"/>
    <w:qFormat/>
    <w:pPr/>
    <w:rPr>
      <w:rFonts w:cs="Mangal"/>
    </w:rPr>
  </w:style>
  <w:style w:type="paragraph" w:styleId="Bw1" w:customStyle="1">
    <w:name w:val="bw1"/>
    <w:basedOn w:val="Default"/>
    <w:qFormat/>
    <w:pPr/>
    <w:rPr>
      <w:rFonts w:cs="Mangal"/>
    </w:rPr>
  </w:style>
  <w:style w:type="paragraph" w:styleId="Bw2" w:customStyle="1">
    <w:name w:val="bw2"/>
    <w:basedOn w:val="Default"/>
    <w:qFormat/>
    <w:pPr/>
    <w:rPr>
      <w:rFonts w:cs="Mangal"/>
    </w:rPr>
  </w:style>
  <w:style w:type="paragraph" w:styleId="Bw3" w:customStyle="1">
    <w:name w:val="bw3"/>
    <w:basedOn w:val="Default"/>
    <w:qFormat/>
    <w:pPr/>
    <w:rPr>
      <w:rFonts w:cs="Mangal"/>
    </w:rPr>
  </w:style>
  <w:style w:type="paragraph" w:styleId="Orange1" w:customStyle="1">
    <w:name w:val="orange1"/>
    <w:basedOn w:val="Default"/>
    <w:qFormat/>
    <w:pPr/>
    <w:rPr>
      <w:rFonts w:cs="Mangal"/>
    </w:rPr>
  </w:style>
  <w:style w:type="paragraph" w:styleId="Orange2" w:customStyle="1">
    <w:name w:val="orange2"/>
    <w:basedOn w:val="Default"/>
    <w:qFormat/>
    <w:pPr/>
    <w:rPr>
      <w:rFonts w:cs="Mangal"/>
    </w:rPr>
  </w:style>
  <w:style w:type="paragraph" w:styleId="Orange3" w:customStyle="1">
    <w:name w:val="orange3"/>
    <w:basedOn w:val="Default"/>
    <w:qFormat/>
    <w:pPr/>
    <w:rPr>
      <w:rFonts w:cs="Mangal"/>
    </w:rPr>
  </w:style>
  <w:style w:type="paragraph" w:styleId="Turquoise1" w:customStyle="1">
    <w:name w:val="turquoise1"/>
    <w:basedOn w:val="Default"/>
    <w:qFormat/>
    <w:pPr/>
    <w:rPr>
      <w:rFonts w:cs="Mangal"/>
    </w:rPr>
  </w:style>
  <w:style w:type="paragraph" w:styleId="Turquoise2" w:customStyle="1">
    <w:name w:val="turquoise2"/>
    <w:basedOn w:val="Default"/>
    <w:qFormat/>
    <w:pPr/>
    <w:rPr>
      <w:rFonts w:cs="Mangal"/>
    </w:rPr>
  </w:style>
  <w:style w:type="paragraph" w:styleId="Turquoise3" w:customStyle="1">
    <w:name w:val="turquoise3"/>
    <w:basedOn w:val="Default"/>
    <w:qFormat/>
    <w:pPr/>
    <w:rPr>
      <w:rFonts w:cs="Mangal"/>
    </w:rPr>
  </w:style>
  <w:style w:type="paragraph" w:styleId="Blue1" w:customStyle="1">
    <w:name w:val="blue1"/>
    <w:basedOn w:val="Default"/>
    <w:qFormat/>
    <w:pPr/>
    <w:rPr>
      <w:rFonts w:cs="Mangal"/>
    </w:rPr>
  </w:style>
  <w:style w:type="paragraph" w:styleId="Blue2" w:customStyle="1">
    <w:name w:val="blue2"/>
    <w:basedOn w:val="Default"/>
    <w:qFormat/>
    <w:pPr/>
    <w:rPr>
      <w:rFonts w:cs="Mangal"/>
    </w:rPr>
  </w:style>
  <w:style w:type="paragraph" w:styleId="Blue3" w:customStyle="1">
    <w:name w:val="blue3"/>
    <w:basedOn w:val="Default"/>
    <w:qFormat/>
    <w:pPr/>
    <w:rPr>
      <w:rFonts w:cs="Mangal"/>
    </w:rPr>
  </w:style>
  <w:style w:type="paragraph" w:styleId="Sun1" w:customStyle="1">
    <w:name w:val="sun1"/>
    <w:basedOn w:val="Default"/>
    <w:qFormat/>
    <w:pPr/>
    <w:rPr>
      <w:rFonts w:cs="Mangal"/>
    </w:rPr>
  </w:style>
  <w:style w:type="paragraph" w:styleId="Sun2" w:customStyle="1">
    <w:name w:val="sun2"/>
    <w:basedOn w:val="Default"/>
    <w:qFormat/>
    <w:pPr/>
    <w:rPr>
      <w:rFonts w:cs="Mangal"/>
    </w:rPr>
  </w:style>
  <w:style w:type="paragraph" w:styleId="Sun3" w:customStyle="1">
    <w:name w:val="sun3"/>
    <w:basedOn w:val="Default"/>
    <w:qFormat/>
    <w:pPr/>
    <w:rPr>
      <w:rFonts w:cs="Mangal"/>
    </w:rPr>
  </w:style>
  <w:style w:type="paragraph" w:styleId="Earth1" w:customStyle="1">
    <w:name w:val="earth1"/>
    <w:basedOn w:val="Default"/>
    <w:qFormat/>
    <w:pPr/>
    <w:rPr>
      <w:rFonts w:cs="Mangal"/>
    </w:rPr>
  </w:style>
  <w:style w:type="paragraph" w:styleId="Earth2" w:customStyle="1">
    <w:name w:val="earth2"/>
    <w:basedOn w:val="Default"/>
    <w:qFormat/>
    <w:pPr/>
    <w:rPr>
      <w:rFonts w:cs="Mangal"/>
    </w:rPr>
  </w:style>
  <w:style w:type="paragraph" w:styleId="Earth3" w:customStyle="1">
    <w:name w:val="earth3"/>
    <w:basedOn w:val="Default"/>
    <w:qFormat/>
    <w:pPr/>
    <w:rPr>
      <w:rFonts w:cs="Mangal"/>
    </w:rPr>
  </w:style>
  <w:style w:type="paragraph" w:styleId="Green1" w:customStyle="1">
    <w:name w:val="green1"/>
    <w:basedOn w:val="Default"/>
    <w:qFormat/>
    <w:pPr/>
    <w:rPr>
      <w:rFonts w:cs="Mangal"/>
    </w:rPr>
  </w:style>
  <w:style w:type="paragraph" w:styleId="Green2" w:customStyle="1">
    <w:name w:val="green2"/>
    <w:basedOn w:val="Default"/>
    <w:qFormat/>
    <w:pPr/>
    <w:rPr>
      <w:rFonts w:cs="Mangal"/>
    </w:rPr>
  </w:style>
  <w:style w:type="paragraph" w:styleId="Green3" w:customStyle="1">
    <w:name w:val="green3"/>
    <w:basedOn w:val="Default"/>
    <w:qFormat/>
    <w:pPr/>
    <w:rPr>
      <w:rFonts w:cs="Mangal"/>
    </w:rPr>
  </w:style>
  <w:style w:type="paragraph" w:styleId="Seetang1" w:customStyle="1">
    <w:name w:val="seetang1"/>
    <w:basedOn w:val="Default"/>
    <w:qFormat/>
    <w:pPr/>
    <w:rPr>
      <w:rFonts w:cs="Mangal"/>
    </w:rPr>
  </w:style>
  <w:style w:type="paragraph" w:styleId="Seetang2" w:customStyle="1">
    <w:name w:val="seetang2"/>
    <w:basedOn w:val="Default"/>
    <w:qFormat/>
    <w:pPr/>
    <w:rPr>
      <w:rFonts w:cs="Mangal"/>
    </w:rPr>
  </w:style>
  <w:style w:type="paragraph" w:styleId="Seetang3" w:customStyle="1">
    <w:name w:val="seetang3"/>
    <w:basedOn w:val="Default"/>
    <w:qFormat/>
    <w:pPr/>
    <w:rPr>
      <w:rFonts w:cs="Mangal"/>
    </w:rPr>
  </w:style>
  <w:style w:type="paragraph" w:styleId="Lightblue1" w:customStyle="1">
    <w:name w:val="lightblue1"/>
    <w:basedOn w:val="Default"/>
    <w:qFormat/>
    <w:pPr/>
    <w:rPr>
      <w:rFonts w:cs="Mangal"/>
    </w:rPr>
  </w:style>
  <w:style w:type="paragraph" w:styleId="Lightblue2" w:customStyle="1">
    <w:name w:val="lightblue2"/>
    <w:basedOn w:val="Default"/>
    <w:qFormat/>
    <w:pPr/>
    <w:rPr>
      <w:rFonts w:cs="Mangal"/>
    </w:rPr>
  </w:style>
  <w:style w:type="paragraph" w:styleId="Lightblue3" w:customStyle="1">
    <w:name w:val="lightblue3"/>
    <w:basedOn w:val="Default"/>
    <w:qFormat/>
    <w:pPr/>
    <w:rPr>
      <w:rFonts w:cs="Mangal"/>
    </w:rPr>
  </w:style>
  <w:style w:type="paragraph" w:styleId="Yellow1" w:customStyle="1">
    <w:name w:val="yellow1"/>
    <w:basedOn w:val="Default"/>
    <w:qFormat/>
    <w:pPr/>
    <w:rPr>
      <w:rFonts w:cs="Mangal"/>
    </w:rPr>
  </w:style>
  <w:style w:type="paragraph" w:styleId="Yellow2" w:customStyle="1">
    <w:name w:val="yellow2"/>
    <w:basedOn w:val="Default"/>
    <w:qFormat/>
    <w:pPr/>
    <w:rPr>
      <w:rFonts w:cs="Mangal"/>
    </w:rPr>
  </w:style>
  <w:style w:type="paragraph" w:styleId="Yellow3" w:customStyle="1">
    <w:name w:val="yellow3"/>
    <w:basedOn w:val="Default"/>
    <w:qFormat/>
    <w:pPr/>
    <w:rPr>
      <w:rFonts w:cs="Mangal"/>
    </w:rPr>
  </w:style>
  <w:style w:type="paragraph" w:styleId="Objetosdoplanodefundo" w:customStyle="1">
    <w:name w:val="Objetos do plano de fundo"/>
    <w:qFormat/>
    <w:pPr>
      <w:widowControl/>
      <w:suppressAutoHyphens w:val="true"/>
      <w:bidi w:val="0"/>
      <w:jc w:val="left"/>
    </w:pPr>
    <w:rPr>
      <w:rFonts w:ascii="Liberation Serif;Times New Roma" w:hAnsi="Liberation Serif;Times New Roma" w:eastAsia="Tahoma" w:cs="Liberation Sans;Arial"/>
      <w:color w:val="auto"/>
      <w:kern w:val="2"/>
      <w:sz w:val="24"/>
      <w:szCs w:val="24"/>
      <w:lang w:val="pt-BR" w:eastAsia="zh-CN" w:bidi="hi-IN"/>
    </w:rPr>
  </w:style>
  <w:style w:type="paragraph" w:styleId="Planodefundo" w:customStyle="1">
    <w:name w:val="Plano de fundo"/>
    <w:qFormat/>
    <w:pPr>
      <w:widowControl/>
      <w:suppressAutoHyphens w:val="true"/>
      <w:bidi w:val="0"/>
      <w:jc w:val="left"/>
    </w:pPr>
    <w:rPr>
      <w:rFonts w:ascii="Liberation Serif;Times New Roma" w:hAnsi="Liberation Serif;Times New Roma" w:eastAsia="Tahoma" w:cs="Liberation Sans;Arial"/>
      <w:color w:val="auto"/>
      <w:kern w:val="2"/>
      <w:sz w:val="24"/>
      <w:szCs w:val="24"/>
      <w:lang w:val="pt-BR" w:eastAsia="zh-CN" w:bidi="hi-IN"/>
    </w:rPr>
  </w:style>
  <w:style w:type="paragraph" w:styleId="Notas" w:customStyle="1">
    <w:name w:val="Notas"/>
    <w:qFormat/>
    <w:pPr>
      <w:widowControl/>
      <w:suppressAutoHyphens w:val="true"/>
      <w:bidi w:val="0"/>
      <w:ind w:left="340" w:hanging="340"/>
      <w:jc w:val="left"/>
    </w:pPr>
    <w:rPr>
      <w:rFonts w:ascii="Mangal" w:hAnsi="Mangal" w:eastAsia="Tahoma" w:cs="Liberation Sans;Arial"/>
      <w:color w:val="000000"/>
      <w:kern w:val="2"/>
      <w:sz w:val="40"/>
      <w:szCs w:val="24"/>
      <w:lang w:val="pt-BR" w:eastAsia="zh-CN" w:bidi="hi-IN"/>
    </w:rPr>
  </w:style>
  <w:style w:type="paragraph" w:styleId="Estruturadetpicos1" w:customStyle="1">
    <w:name w:val="Estrutura de tópicos 1"/>
    <w:qFormat/>
    <w:pPr>
      <w:widowControl/>
      <w:suppressAutoHyphens w:val="true"/>
      <w:bidi w:val="0"/>
      <w:spacing w:lineRule="auto" w:line="216" w:before="283" w:after="0"/>
      <w:jc w:val="left"/>
    </w:pPr>
    <w:rPr>
      <w:rFonts w:ascii="Mangal" w:hAnsi="Mangal" w:eastAsia="Tahoma" w:cs="Liberation Sans;Arial"/>
      <w:color w:val="000000"/>
      <w:kern w:val="2"/>
      <w:sz w:val="56"/>
      <w:szCs w:val="24"/>
      <w:lang w:val="pt-BR" w:eastAsia="zh-CN" w:bidi="hi-IN"/>
    </w:rPr>
  </w:style>
  <w:style w:type="paragraph" w:styleId="Estruturadetpicos2" w:customStyle="1">
    <w:name w:val="Estrutura de tópicos 2"/>
    <w:basedOn w:val="Estruturadetpicos1"/>
    <w:qFormat/>
    <w:pPr>
      <w:spacing w:before="227" w:after="0"/>
    </w:pPr>
    <w:rPr>
      <w:rFonts w:cs="Mangal"/>
      <w:sz w:val="40"/>
    </w:rPr>
  </w:style>
  <w:style w:type="paragraph" w:styleId="Estruturadetpicos3" w:customStyle="1">
    <w:name w:val="Estrutura de tópicos 3"/>
    <w:basedOn w:val="Estruturadetpicos2"/>
    <w:qFormat/>
    <w:pPr>
      <w:spacing w:before="170" w:after="0"/>
    </w:pPr>
    <w:rPr>
      <w:sz w:val="36"/>
    </w:rPr>
  </w:style>
  <w:style w:type="paragraph" w:styleId="Estruturadetpicos4" w:customStyle="1">
    <w:name w:val="Estrutura de tópicos 4"/>
    <w:basedOn w:val="Estruturadetpicos3"/>
    <w:qFormat/>
    <w:pPr>
      <w:spacing w:before="113" w:after="0"/>
    </w:pPr>
    <w:rPr/>
  </w:style>
  <w:style w:type="paragraph" w:styleId="Estruturadetpicos5" w:customStyle="1">
    <w:name w:val="Estrutura de tópicos 5"/>
    <w:basedOn w:val="Estruturadetpicos4"/>
    <w:qFormat/>
    <w:pPr>
      <w:spacing w:before="57" w:after="0"/>
    </w:pPr>
    <w:rPr>
      <w:sz w:val="40"/>
    </w:rPr>
  </w:style>
  <w:style w:type="paragraph" w:styleId="Estruturadetpicos6" w:customStyle="1">
    <w:name w:val="Estrutura de tópicos 6"/>
    <w:basedOn w:val="Estruturadetpicos5"/>
    <w:qFormat/>
    <w:pPr/>
    <w:rPr/>
  </w:style>
  <w:style w:type="paragraph" w:styleId="Estruturadetpicos7" w:customStyle="1">
    <w:name w:val="Estrutura de tópicos 7"/>
    <w:basedOn w:val="Estruturadetpicos6"/>
    <w:qFormat/>
    <w:pPr/>
    <w:rPr/>
  </w:style>
  <w:style w:type="paragraph" w:styleId="Estruturadetpicos8" w:customStyle="1">
    <w:name w:val="Estrutura de tópicos 8"/>
    <w:basedOn w:val="Estruturadetpicos7"/>
    <w:qFormat/>
    <w:pPr/>
    <w:rPr/>
  </w:style>
  <w:style w:type="paragraph" w:styleId="Estruturadetpicos9" w:customStyle="1">
    <w:name w:val="Estrutura de tópicos 9"/>
    <w:basedOn w:val="Estruturadetpicos8"/>
    <w:qFormat/>
    <w:pPr/>
    <w:rPr/>
  </w:style>
  <w:style w:type="paragraph" w:styleId="Contedodatabela" w:customStyle="1">
    <w:name w:val="Conteúdo da tabela"/>
    <w:basedOn w:val="LOnormal"/>
    <w:qFormat/>
    <w:pPr>
      <w:suppressLineNumbers/>
    </w:pPr>
    <w:rPr/>
  </w:style>
  <w:style w:type="paragraph" w:styleId="Contedodetabela" w:customStyle="1">
    <w:name w:val="Conteúdo de tabela"/>
    <w:basedOn w:val="LOnormal"/>
    <w:qFormat/>
    <w:pPr>
      <w:suppressLineNumbers/>
    </w:pPr>
    <w:rPr/>
  </w:style>
  <w:style w:type="paragraph" w:styleId="Ttulodetabela" w:customStyle="1">
    <w:name w:val="Título de tabela"/>
    <w:basedOn w:val="Contedodatabela"/>
    <w:qFormat/>
    <w:pPr>
      <w:jc w:val="center"/>
    </w:pPr>
    <w:rPr>
      <w:b/>
      <w:bCs/>
    </w:rPr>
  </w:style>
  <w:style w:type="paragraph" w:styleId="Parag2" w:customStyle="1">
    <w:name w:val="parag2"/>
    <w:basedOn w:val="LOnormal"/>
    <w:qFormat/>
    <w:pPr>
      <w:widowControl/>
      <w:spacing w:before="100" w:after="100"/>
    </w:pPr>
    <w:rPr>
      <w:kern w:val="2"/>
    </w:rPr>
  </w:style>
  <w:style w:type="paragraph" w:styleId="ListBullet">
    <w:name w:val="List Bullet"/>
    <w:basedOn w:val="LOnormal"/>
    <w:qFormat/>
    <w:pPr>
      <w:spacing w:before="0" w:after="0"/>
      <w:contextualSpacing/>
    </w:pPr>
    <w:rPr/>
  </w:style>
  <w:style w:type="paragraph" w:styleId="Subttulo">
    <w:name w:val="Subtitle"/>
    <w:basedOn w:val="LOnormal"/>
    <w:next w:val="LOnormal"/>
    <w:qFormat/>
    <w:pPr/>
    <w:rPr>
      <w:i/>
      <w:color w:val="4F81BD"/>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1.w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j2ZOgAEXkV7W92PgnSId4aTaxbnA==">AMUW2mX3XnnCum4sxxVYxvz47vIKD/0Dmm7wcsPm9XPR1H3isvKGrM8dyrtjsKfvFCJSbiVqRsQn756FkTXX/X8KkJfuC0SE8PtGf/INsSRUPdci+rPvEis5qW90vPZs2CCRK0ttQuXq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805</TotalTime>
  <Application>LibreOffice/6.3.3.2$Windows_X86_64 LibreOffice_project/a64200df03143b798afd1ec74a12ab50359878ed</Application>
  <Pages>7</Pages>
  <Words>2463</Words>
  <Characters>14130</Characters>
  <CharactersWithSpaces>16615</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2019-10-21T16:27:00Z</dcterms:created>
  <dc:creator>Patricia Lopes dos Santos</dc:creator>
  <dc:description/>
  <dc:language>pt-BR</dc:language>
  <cp:lastModifiedBy/>
  <cp:lastPrinted>2020-10-20T21:11:00Z</cp:lastPrinted>
  <dcterms:modified xsi:type="dcterms:W3CDTF">2020-12-15T07:54:51Z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